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13FCE">
        <w:tc>
          <w:tcPr>
            <w:tcW w:w="509" w:type="dxa"/>
          </w:tcPr>
          <w:p w:rsidR="00513FCE" w:rsidRDefault="00F1196B">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13FCE" w:rsidRDefault="00F1196B">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Pr>
                <w:rFonts w:ascii="黑体" w:eastAsia="黑体" w:hAnsi="黑体"/>
                <w:sz w:val="21"/>
                <w:szCs w:val="21"/>
              </w:rPr>
              <w:t xml:space="preserve"> 65.020</w:t>
            </w:r>
            <w:bookmarkEnd w:id="1"/>
            <w:r>
              <w:rPr>
                <w:rFonts w:ascii="黑体" w:eastAsia="黑体" w:hAnsi="黑体"/>
                <w:sz w:val="21"/>
                <w:szCs w:val="21"/>
              </w:rPr>
              <w:fldChar w:fldCharType="end"/>
            </w:r>
            <w:bookmarkEnd w:id="0"/>
          </w:p>
        </w:tc>
      </w:tr>
      <w:tr w:rsidR="00513FCE">
        <w:tc>
          <w:tcPr>
            <w:tcW w:w="509" w:type="dxa"/>
          </w:tcPr>
          <w:p w:rsidR="00513FCE" w:rsidRDefault="00F1196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13FCE" w:rsidRDefault="00F1196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10</w:t>
            </w:r>
            <w:r>
              <w:rPr>
                <w:rFonts w:ascii="黑体" w:eastAsia="黑体" w:hAnsi="黑体"/>
                <w:sz w:val="21"/>
                <w:szCs w:val="21"/>
              </w:rPr>
              <w:fldChar w:fldCharType="end"/>
            </w:r>
            <w:bookmarkEnd w:id="2"/>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13FCE">
        <w:tc>
          <w:tcPr>
            <w:tcW w:w="6407" w:type="dxa"/>
          </w:tcPr>
          <w:p w:rsidR="00513FCE" w:rsidRDefault="00F1196B">
            <w:pPr>
              <w:pStyle w:val="affff8"/>
              <w:framePr w:w="0" w:hRule="auto" w:wrap="auto" w:hAnchor="text" w:xAlign="left" w:yAlign="inline" w:anchorLock="0"/>
              <w:rPr>
                <w:rFonts w:ascii="宋体" w:hAnsi="宋体"/>
                <w:sz w:val="28"/>
                <w:szCs w:val="28"/>
              </w:rPr>
            </w:pPr>
            <w:bookmarkStart w:id="3"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Pr>
                <w:rFonts w:hint="eastAsia"/>
              </w:rPr>
              <w:t>14</w:t>
            </w:r>
            <w:r>
              <w:fldChar w:fldCharType="end"/>
            </w:r>
            <w:bookmarkEnd w:id="4"/>
          </w:p>
        </w:tc>
      </w:tr>
    </w:tbl>
    <w:p w:rsidR="00513FCE" w:rsidRDefault="00F1196B">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rsidR="00513FCE" w:rsidRDefault="00F1196B">
      <w:pPr>
        <w:pStyle w:val="afffffffffb"/>
        <w:framePr w:wrap="auto"/>
        <w:rPr>
          <w:lang w:val="fr-FR"/>
        </w:rPr>
      </w:pPr>
      <w:r>
        <w:rPr>
          <w:lang w:val="fr-FR"/>
        </w:rPr>
        <w:t>DB</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rFonts w:hint="eastAsia"/>
          <w:lang w:val="fr-FR"/>
        </w:rPr>
        <w:t>14</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rsidR="00513FCE" w:rsidRDefault="00F1196B">
      <w:pPr>
        <w:pStyle w:val="afffffffffc"/>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rsidR="00513FCE" w:rsidRDefault="00F1196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13FCE" w:rsidRDefault="00513FCE">
      <w:pPr>
        <w:pStyle w:val="affff9"/>
        <w:framePr w:w="9639" w:h="6976" w:hRule="exact" w:hSpace="0" w:vSpace="0" w:wrap="around" w:hAnchor="page" w:y="6408"/>
        <w:jc w:val="center"/>
        <w:rPr>
          <w:rFonts w:ascii="黑体" w:eastAsia="黑体" w:hAnsi="黑体"/>
          <w:b w:val="0"/>
          <w:bCs w:val="0"/>
          <w:w w:val="100"/>
        </w:rPr>
      </w:pPr>
    </w:p>
    <w:p w:rsidR="00513FCE" w:rsidRDefault="00F1196B">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新增耕地耕层土壤熟化技术规程     </w:t>
      </w:r>
      <w:r>
        <w:fldChar w:fldCharType="end"/>
      </w:r>
      <w:bookmarkEnd w:id="10"/>
    </w:p>
    <w:p w:rsidR="00513FCE" w:rsidRDefault="00513FCE">
      <w:pPr>
        <w:framePr w:w="9639" w:h="6974" w:hRule="exact" w:wrap="around" w:vAnchor="page" w:hAnchor="page" w:x="1419" w:y="6408" w:anchorLock="1"/>
        <w:ind w:left="-1418"/>
      </w:pPr>
    </w:p>
    <w:p w:rsidR="00513FCE" w:rsidRDefault="00F1196B">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点击此处添加标准名称的英文译名</w:t>
      </w:r>
      <w:r>
        <w:rPr>
          <w:rFonts w:eastAsia="黑体"/>
          <w:szCs w:val="28"/>
        </w:rPr>
        <w:fldChar w:fldCharType="end"/>
      </w:r>
      <w:bookmarkEnd w:id="11"/>
    </w:p>
    <w:p w:rsidR="00513FCE" w:rsidRDefault="00513FCE">
      <w:pPr>
        <w:framePr w:w="9639" w:h="6974" w:hRule="exact" w:wrap="around" w:vAnchor="page" w:hAnchor="page" w:x="1419" w:y="6408" w:anchorLock="1"/>
        <w:spacing w:line="760" w:lineRule="exact"/>
        <w:ind w:left="-1418"/>
      </w:pPr>
    </w:p>
    <w:p w:rsidR="00513FCE" w:rsidRDefault="00513FCE">
      <w:pPr>
        <w:pStyle w:val="afffffff1"/>
        <w:framePr w:w="9639" w:h="6974" w:hRule="exact" w:wrap="around" w:vAnchor="page" w:hAnchor="page" w:x="1419" w:y="6408" w:anchorLock="1"/>
        <w:textAlignment w:val="bottom"/>
        <w:rPr>
          <w:rFonts w:eastAsia="黑体"/>
          <w:szCs w:val="28"/>
        </w:rPr>
      </w:pPr>
    </w:p>
    <w:p w:rsidR="00513FCE" w:rsidRDefault="00F1196B">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8B1B7E">
        <w:rPr>
          <w:sz w:val="24"/>
          <w:szCs w:val="28"/>
        </w:rPr>
      </w:r>
      <w:r w:rsidR="008B1B7E">
        <w:rPr>
          <w:sz w:val="24"/>
          <w:szCs w:val="28"/>
        </w:rPr>
        <w:fldChar w:fldCharType="separate"/>
      </w:r>
      <w:r>
        <w:rPr>
          <w:sz w:val="24"/>
          <w:szCs w:val="28"/>
        </w:rPr>
        <w:fldChar w:fldCharType="end"/>
      </w:r>
      <w:bookmarkEnd w:id="12"/>
    </w:p>
    <w:p w:rsidR="00513FCE" w:rsidRDefault="00F1196B">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513FCE" w:rsidRDefault="00F1196B">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8B1B7E">
        <w:rPr>
          <w:b/>
          <w:sz w:val="21"/>
          <w:szCs w:val="28"/>
        </w:rPr>
      </w:r>
      <w:r w:rsidR="008B1B7E">
        <w:rPr>
          <w:b/>
          <w:sz w:val="21"/>
          <w:szCs w:val="28"/>
        </w:rPr>
        <w:fldChar w:fldCharType="separate"/>
      </w:r>
      <w:r>
        <w:rPr>
          <w:b/>
          <w:sz w:val="21"/>
          <w:szCs w:val="28"/>
        </w:rPr>
        <w:fldChar w:fldCharType="end"/>
      </w:r>
      <w:bookmarkEnd w:id="14"/>
    </w:p>
    <w:p w:rsidR="00513FCE" w:rsidRDefault="00F1196B">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513FCE" w:rsidRDefault="00F1196B">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513FCE" w:rsidRDefault="00F1196B">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t>     </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513FCE" w:rsidRDefault="00F1196B">
      <w:pPr>
        <w:rPr>
          <w:rFonts w:ascii="宋体" w:hAnsi="宋体"/>
          <w:sz w:val="28"/>
          <w:szCs w:val="28"/>
        </w:rPr>
        <w:sectPr w:rsidR="00513FCE">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13FCE" w:rsidRDefault="00F1196B">
      <w:pPr>
        <w:pStyle w:val="affffff3"/>
        <w:spacing w:after="468"/>
      </w:pPr>
      <w:bookmarkStart w:id="22" w:name="BookMark1"/>
      <w:bookmarkStart w:id="23" w:name="_Toc181112929"/>
      <w:r>
        <w:rPr>
          <w:rFonts w:hint="eastAsia"/>
          <w:spacing w:val="320"/>
        </w:rPr>
        <w:lastRenderedPageBreak/>
        <w:t>目</w:t>
      </w:r>
      <w:r>
        <w:rPr>
          <w:rFonts w:hint="eastAsia"/>
        </w:rPr>
        <w:t>次</w:t>
      </w:r>
    </w:p>
    <w:p w:rsidR="00513FCE" w:rsidRDefault="00F1196B">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81113704" w:history="1">
        <w:r>
          <w:rPr>
            <w:rStyle w:val="affff5"/>
            <w:rFonts w:hint="eastAsia"/>
          </w:rPr>
          <w:t>前言</w:t>
        </w:r>
        <w:r>
          <w:tab/>
        </w:r>
        <w:r>
          <w:fldChar w:fldCharType="begin"/>
        </w:r>
        <w:r>
          <w:instrText xml:space="preserve"> PAGEREF _Toc181113704 \h </w:instrText>
        </w:r>
        <w:r>
          <w:fldChar w:fldCharType="separate"/>
        </w:r>
        <w:r>
          <w:t>II</w:t>
        </w:r>
        <w:r>
          <w:fldChar w:fldCharType="end"/>
        </w:r>
      </w:hyperlink>
    </w:p>
    <w:p w:rsidR="00513FCE" w:rsidRDefault="008B1B7E">
      <w:pPr>
        <w:pStyle w:val="10"/>
        <w:tabs>
          <w:tab w:val="right" w:leader="dot" w:pos="9344"/>
        </w:tabs>
        <w:rPr>
          <w:rFonts w:asciiTheme="minorHAnsi" w:eastAsiaTheme="minorEastAsia" w:hAnsiTheme="minorHAnsi" w:cstheme="minorBidi"/>
          <w:szCs w:val="22"/>
        </w:rPr>
      </w:pPr>
      <w:hyperlink w:anchor="_Toc181113705" w:history="1">
        <w:r w:rsidR="00F1196B">
          <w:rPr>
            <w:rStyle w:val="affff5"/>
          </w:rPr>
          <w:t xml:space="preserve">1 </w:t>
        </w:r>
        <w:r w:rsidR="00F1196B">
          <w:rPr>
            <w:rStyle w:val="affff5"/>
            <w:rFonts w:hint="eastAsia"/>
          </w:rPr>
          <w:t xml:space="preserve"> 范围</w:t>
        </w:r>
        <w:r w:rsidR="00F1196B">
          <w:tab/>
        </w:r>
        <w:r w:rsidR="00F1196B">
          <w:fldChar w:fldCharType="begin"/>
        </w:r>
        <w:r w:rsidR="00F1196B">
          <w:instrText xml:space="preserve"> PAGEREF _Toc181113705 \h </w:instrText>
        </w:r>
        <w:r w:rsidR="00F1196B">
          <w:fldChar w:fldCharType="separate"/>
        </w:r>
        <w:r w:rsidR="00F1196B">
          <w:t>1</w:t>
        </w:r>
        <w:r w:rsidR="00F1196B">
          <w:fldChar w:fldCharType="end"/>
        </w:r>
      </w:hyperlink>
    </w:p>
    <w:p w:rsidR="00513FCE" w:rsidRDefault="008B1B7E">
      <w:pPr>
        <w:pStyle w:val="10"/>
        <w:tabs>
          <w:tab w:val="right" w:leader="dot" w:pos="9344"/>
        </w:tabs>
        <w:rPr>
          <w:rFonts w:asciiTheme="minorHAnsi" w:eastAsiaTheme="minorEastAsia" w:hAnsiTheme="minorHAnsi" w:cstheme="minorBidi"/>
          <w:szCs w:val="22"/>
        </w:rPr>
      </w:pPr>
      <w:hyperlink w:anchor="_Toc181113706" w:history="1">
        <w:r w:rsidR="00F1196B">
          <w:rPr>
            <w:rStyle w:val="affff5"/>
          </w:rPr>
          <w:t xml:space="preserve">2 </w:t>
        </w:r>
        <w:r w:rsidR="00F1196B">
          <w:rPr>
            <w:rStyle w:val="affff5"/>
            <w:rFonts w:hint="eastAsia"/>
          </w:rPr>
          <w:t xml:space="preserve"> 规范性引用文件</w:t>
        </w:r>
        <w:r w:rsidR="00F1196B">
          <w:tab/>
        </w:r>
        <w:r w:rsidR="00F1196B">
          <w:fldChar w:fldCharType="begin"/>
        </w:r>
        <w:r w:rsidR="00F1196B">
          <w:instrText xml:space="preserve"> PAGEREF _Toc181113706 \h </w:instrText>
        </w:r>
        <w:r w:rsidR="00F1196B">
          <w:fldChar w:fldCharType="separate"/>
        </w:r>
        <w:r w:rsidR="00F1196B">
          <w:t>1</w:t>
        </w:r>
        <w:r w:rsidR="00F1196B">
          <w:fldChar w:fldCharType="end"/>
        </w:r>
      </w:hyperlink>
    </w:p>
    <w:p w:rsidR="00513FCE" w:rsidRDefault="008B1B7E">
      <w:pPr>
        <w:pStyle w:val="10"/>
        <w:tabs>
          <w:tab w:val="right" w:leader="dot" w:pos="9344"/>
        </w:tabs>
        <w:rPr>
          <w:rFonts w:asciiTheme="minorHAnsi" w:eastAsiaTheme="minorEastAsia" w:hAnsiTheme="minorHAnsi" w:cstheme="minorBidi"/>
          <w:szCs w:val="22"/>
        </w:rPr>
      </w:pPr>
      <w:hyperlink w:anchor="_Toc181113707" w:history="1">
        <w:r w:rsidR="00F1196B">
          <w:rPr>
            <w:rStyle w:val="affff5"/>
          </w:rPr>
          <w:t xml:space="preserve">3 </w:t>
        </w:r>
        <w:r w:rsidR="00F1196B">
          <w:rPr>
            <w:rStyle w:val="affff5"/>
            <w:rFonts w:hint="eastAsia"/>
          </w:rPr>
          <w:t xml:space="preserve"> 术语和定义</w:t>
        </w:r>
        <w:r w:rsidR="00F1196B">
          <w:tab/>
        </w:r>
        <w:r w:rsidR="00F1196B">
          <w:fldChar w:fldCharType="begin"/>
        </w:r>
        <w:r w:rsidR="00F1196B">
          <w:instrText xml:space="preserve"> PAGEREF _Toc181113707 \h </w:instrText>
        </w:r>
        <w:r w:rsidR="00F1196B">
          <w:fldChar w:fldCharType="separate"/>
        </w:r>
        <w:r w:rsidR="00F1196B">
          <w:t>1</w:t>
        </w:r>
        <w:r w:rsidR="00F1196B">
          <w:fldChar w:fldCharType="end"/>
        </w:r>
      </w:hyperlink>
    </w:p>
    <w:p w:rsidR="00513FCE" w:rsidRDefault="008B1B7E">
      <w:pPr>
        <w:pStyle w:val="10"/>
        <w:tabs>
          <w:tab w:val="right" w:leader="dot" w:pos="9344"/>
        </w:tabs>
        <w:rPr>
          <w:rFonts w:asciiTheme="minorHAnsi" w:eastAsiaTheme="minorEastAsia" w:hAnsiTheme="minorHAnsi" w:cstheme="minorBidi"/>
          <w:szCs w:val="22"/>
        </w:rPr>
      </w:pPr>
      <w:hyperlink w:anchor="_Toc181113708" w:history="1">
        <w:r w:rsidR="00F1196B">
          <w:rPr>
            <w:rStyle w:val="affff5"/>
          </w:rPr>
          <w:t xml:space="preserve">4 </w:t>
        </w:r>
        <w:r w:rsidR="00F1196B">
          <w:rPr>
            <w:rStyle w:val="affff5"/>
            <w:rFonts w:hint="eastAsia"/>
          </w:rPr>
          <w:t xml:space="preserve"> 土壤熟化原则</w:t>
        </w:r>
        <w:r w:rsidR="00F1196B">
          <w:tab/>
        </w:r>
        <w:r w:rsidR="00F1196B">
          <w:fldChar w:fldCharType="begin"/>
        </w:r>
        <w:r w:rsidR="00F1196B">
          <w:instrText xml:space="preserve"> PAGEREF _Toc181113708 \h </w:instrText>
        </w:r>
        <w:r w:rsidR="00F1196B">
          <w:fldChar w:fldCharType="separate"/>
        </w:r>
        <w:r w:rsidR="00F1196B">
          <w:t>1</w:t>
        </w:r>
        <w:r w:rsidR="00F1196B">
          <w:fldChar w:fldCharType="end"/>
        </w:r>
      </w:hyperlink>
    </w:p>
    <w:p w:rsidR="00513FCE" w:rsidRDefault="008B1B7E">
      <w:pPr>
        <w:pStyle w:val="10"/>
        <w:tabs>
          <w:tab w:val="right" w:leader="dot" w:pos="9344"/>
        </w:tabs>
        <w:rPr>
          <w:rFonts w:asciiTheme="minorHAnsi" w:eastAsiaTheme="minorEastAsia" w:hAnsiTheme="minorHAnsi" w:cstheme="minorBidi"/>
          <w:szCs w:val="22"/>
        </w:rPr>
      </w:pPr>
      <w:hyperlink w:anchor="_Toc181113709" w:history="1">
        <w:r w:rsidR="00F1196B">
          <w:rPr>
            <w:rStyle w:val="affff5"/>
          </w:rPr>
          <w:t xml:space="preserve">5 </w:t>
        </w:r>
        <w:r w:rsidR="00F1196B">
          <w:rPr>
            <w:rStyle w:val="affff5"/>
            <w:rFonts w:hint="eastAsia"/>
          </w:rPr>
          <w:t xml:space="preserve"> 指标及测定</w:t>
        </w:r>
        <w:r w:rsidR="00F1196B">
          <w:tab/>
        </w:r>
        <w:r w:rsidR="00F1196B">
          <w:fldChar w:fldCharType="begin"/>
        </w:r>
        <w:r w:rsidR="00F1196B">
          <w:instrText xml:space="preserve"> PAGEREF _Toc181113709 \h </w:instrText>
        </w:r>
        <w:r w:rsidR="00F1196B">
          <w:fldChar w:fldCharType="separate"/>
        </w:r>
        <w:r w:rsidR="00F1196B">
          <w:t>2</w:t>
        </w:r>
        <w:r w:rsidR="00F1196B">
          <w:fldChar w:fldCharType="end"/>
        </w:r>
      </w:hyperlink>
    </w:p>
    <w:p w:rsidR="00513FCE" w:rsidRDefault="008B1B7E">
      <w:pPr>
        <w:pStyle w:val="10"/>
        <w:tabs>
          <w:tab w:val="right" w:leader="dot" w:pos="9344"/>
        </w:tabs>
        <w:rPr>
          <w:rFonts w:asciiTheme="minorHAnsi" w:eastAsiaTheme="minorEastAsia" w:hAnsiTheme="minorHAnsi" w:cstheme="minorBidi"/>
          <w:szCs w:val="22"/>
        </w:rPr>
      </w:pPr>
      <w:hyperlink w:anchor="_Toc181113710" w:history="1">
        <w:r w:rsidR="00F1196B">
          <w:rPr>
            <w:rStyle w:val="affff5"/>
          </w:rPr>
          <w:t xml:space="preserve">6 </w:t>
        </w:r>
        <w:r w:rsidR="00F1196B">
          <w:rPr>
            <w:rStyle w:val="affff5"/>
            <w:rFonts w:hint="eastAsia"/>
          </w:rPr>
          <w:t xml:space="preserve"> 措施及方法</w:t>
        </w:r>
        <w:r w:rsidR="00F1196B">
          <w:tab/>
        </w:r>
        <w:r w:rsidR="00F1196B">
          <w:fldChar w:fldCharType="begin"/>
        </w:r>
        <w:r w:rsidR="00F1196B">
          <w:instrText xml:space="preserve"> PAGEREF _Toc181113710 \h </w:instrText>
        </w:r>
        <w:r w:rsidR="00F1196B">
          <w:fldChar w:fldCharType="separate"/>
        </w:r>
        <w:r w:rsidR="00F1196B">
          <w:t>2</w:t>
        </w:r>
        <w:r w:rsidR="00F1196B">
          <w:fldChar w:fldCharType="end"/>
        </w:r>
      </w:hyperlink>
    </w:p>
    <w:p w:rsidR="00513FCE" w:rsidRDefault="008B1B7E">
      <w:pPr>
        <w:pStyle w:val="10"/>
        <w:tabs>
          <w:tab w:val="right" w:leader="dot" w:pos="9344"/>
        </w:tabs>
        <w:rPr>
          <w:rFonts w:asciiTheme="minorHAnsi" w:eastAsiaTheme="minorEastAsia" w:hAnsiTheme="minorHAnsi" w:cstheme="minorBidi"/>
          <w:szCs w:val="22"/>
        </w:rPr>
      </w:pPr>
      <w:hyperlink w:anchor="_Toc181113711" w:history="1">
        <w:r w:rsidR="00F1196B">
          <w:rPr>
            <w:rStyle w:val="affff5"/>
          </w:rPr>
          <w:t xml:space="preserve">7 </w:t>
        </w:r>
        <w:r w:rsidR="00F1196B">
          <w:rPr>
            <w:rStyle w:val="affff5"/>
            <w:rFonts w:hint="eastAsia"/>
          </w:rPr>
          <w:t xml:space="preserve"> 耕地质量评价</w:t>
        </w:r>
        <w:r w:rsidR="00F1196B">
          <w:tab/>
        </w:r>
        <w:r w:rsidR="00F1196B">
          <w:fldChar w:fldCharType="begin"/>
        </w:r>
        <w:r w:rsidR="00F1196B">
          <w:instrText xml:space="preserve"> PAGEREF _Toc181113711 \h </w:instrText>
        </w:r>
        <w:r w:rsidR="00F1196B">
          <w:fldChar w:fldCharType="separate"/>
        </w:r>
        <w:r w:rsidR="00F1196B">
          <w:t>3</w:t>
        </w:r>
        <w:r w:rsidR="00F1196B">
          <w:fldChar w:fldCharType="end"/>
        </w:r>
      </w:hyperlink>
    </w:p>
    <w:p w:rsidR="00513FCE" w:rsidRDefault="008B1B7E">
      <w:pPr>
        <w:pStyle w:val="10"/>
        <w:tabs>
          <w:tab w:val="right" w:leader="dot" w:pos="9344"/>
        </w:tabs>
        <w:rPr>
          <w:rFonts w:asciiTheme="minorHAnsi" w:eastAsiaTheme="minorEastAsia" w:hAnsiTheme="minorHAnsi" w:cstheme="minorBidi"/>
          <w:szCs w:val="22"/>
        </w:rPr>
      </w:pPr>
      <w:hyperlink w:anchor="_Toc181113712" w:history="1">
        <w:r w:rsidR="00F1196B">
          <w:rPr>
            <w:rStyle w:val="affff5"/>
          </w:rPr>
          <w:t xml:space="preserve">8 </w:t>
        </w:r>
        <w:r w:rsidR="00F1196B">
          <w:rPr>
            <w:rStyle w:val="affff5"/>
            <w:rFonts w:hint="eastAsia"/>
          </w:rPr>
          <w:t xml:space="preserve"> 熟化期限</w:t>
        </w:r>
        <w:r w:rsidR="00F1196B">
          <w:tab/>
        </w:r>
        <w:r w:rsidR="00F1196B">
          <w:fldChar w:fldCharType="begin"/>
        </w:r>
        <w:r w:rsidR="00F1196B">
          <w:instrText xml:space="preserve"> PAGEREF _Toc181113712 \h </w:instrText>
        </w:r>
        <w:r w:rsidR="00F1196B">
          <w:fldChar w:fldCharType="separate"/>
        </w:r>
        <w:r w:rsidR="00F1196B">
          <w:t>3</w:t>
        </w:r>
        <w:r w:rsidR="00F1196B">
          <w:fldChar w:fldCharType="end"/>
        </w:r>
      </w:hyperlink>
    </w:p>
    <w:p w:rsidR="00513FCE" w:rsidRDefault="008B1B7E">
      <w:pPr>
        <w:pStyle w:val="10"/>
        <w:tabs>
          <w:tab w:val="right" w:leader="dot" w:pos="9344"/>
        </w:tabs>
        <w:rPr>
          <w:rFonts w:asciiTheme="minorHAnsi" w:eastAsiaTheme="minorEastAsia" w:hAnsiTheme="minorHAnsi" w:cstheme="minorBidi"/>
          <w:szCs w:val="22"/>
        </w:rPr>
      </w:pPr>
      <w:hyperlink w:anchor="_Toc181113713" w:history="1">
        <w:r w:rsidR="00F1196B">
          <w:rPr>
            <w:rStyle w:val="affff5"/>
          </w:rPr>
          <w:t xml:space="preserve">9 </w:t>
        </w:r>
        <w:r w:rsidR="00F1196B">
          <w:rPr>
            <w:rStyle w:val="affff5"/>
            <w:rFonts w:hint="eastAsia"/>
          </w:rPr>
          <w:t xml:space="preserve"> 档案记录</w:t>
        </w:r>
        <w:r w:rsidR="00F1196B">
          <w:tab/>
        </w:r>
        <w:r w:rsidR="00F1196B">
          <w:fldChar w:fldCharType="begin"/>
        </w:r>
        <w:r w:rsidR="00F1196B">
          <w:instrText xml:space="preserve"> PAGEREF _Toc181113713 \h </w:instrText>
        </w:r>
        <w:r w:rsidR="00F1196B">
          <w:fldChar w:fldCharType="separate"/>
        </w:r>
        <w:r w:rsidR="00F1196B">
          <w:t>4</w:t>
        </w:r>
        <w:r w:rsidR="00F1196B">
          <w:fldChar w:fldCharType="end"/>
        </w:r>
      </w:hyperlink>
    </w:p>
    <w:p w:rsidR="00513FCE" w:rsidRDefault="008B1B7E">
      <w:pPr>
        <w:pStyle w:val="10"/>
        <w:tabs>
          <w:tab w:val="right" w:leader="dot" w:pos="9344"/>
        </w:tabs>
        <w:rPr>
          <w:rFonts w:asciiTheme="minorHAnsi" w:eastAsiaTheme="minorEastAsia" w:hAnsiTheme="minorHAnsi" w:cstheme="minorBidi"/>
          <w:szCs w:val="22"/>
        </w:rPr>
      </w:pPr>
      <w:hyperlink w:anchor="_Toc181113714" w:history="1">
        <w:r w:rsidR="00F1196B">
          <w:rPr>
            <w:rStyle w:val="affff5"/>
            <w:rFonts w:hint="eastAsia"/>
          </w:rPr>
          <w:t>附录A（资料性）</w:t>
        </w:r>
        <w:r w:rsidR="00F1196B">
          <w:rPr>
            <w:rStyle w:val="affff5"/>
          </w:rPr>
          <w:t xml:space="preserve">  </w:t>
        </w:r>
        <w:r w:rsidR="00F1196B">
          <w:rPr>
            <w:rStyle w:val="affff5"/>
            <w:rFonts w:hint="eastAsia"/>
          </w:rPr>
          <w:t>土壤熟化田间技术生产档案记载内容</w:t>
        </w:r>
        <w:r w:rsidR="00F1196B">
          <w:tab/>
        </w:r>
        <w:r w:rsidR="00F1196B">
          <w:fldChar w:fldCharType="begin"/>
        </w:r>
        <w:r w:rsidR="00F1196B">
          <w:instrText xml:space="preserve"> PAGEREF _Toc181113714 \h </w:instrText>
        </w:r>
        <w:r w:rsidR="00F1196B">
          <w:fldChar w:fldCharType="separate"/>
        </w:r>
        <w:r w:rsidR="00F1196B">
          <w:t>5</w:t>
        </w:r>
        <w:r w:rsidR="00F1196B">
          <w:fldChar w:fldCharType="end"/>
        </w:r>
      </w:hyperlink>
    </w:p>
    <w:p w:rsidR="00513FCE" w:rsidRDefault="00F1196B">
      <w:pPr>
        <w:pStyle w:val="affffff3"/>
        <w:spacing w:after="468"/>
        <w:sectPr w:rsidR="00513FCE">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rsidR="00513FCE" w:rsidRDefault="00F1196B">
      <w:pPr>
        <w:pStyle w:val="a6"/>
        <w:spacing w:before="900" w:after="468"/>
      </w:pPr>
      <w:bookmarkStart w:id="24" w:name="_Toc181113704"/>
      <w:bookmarkStart w:id="25" w:name="BookMark2"/>
      <w:bookmarkEnd w:id="22"/>
      <w:r>
        <w:rPr>
          <w:spacing w:val="320"/>
        </w:rPr>
        <w:lastRenderedPageBreak/>
        <w:t>前</w:t>
      </w:r>
      <w:r>
        <w:t>言</w:t>
      </w:r>
      <w:bookmarkEnd w:id="23"/>
      <w:bookmarkEnd w:id="24"/>
    </w:p>
    <w:p w:rsidR="00513FCE" w:rsidRDefault="00F1196B">
      <w:pPr>
        <w:pStyle w:val="affffe"/>
        <w:ind w:firstLine="420"/>
      </w:pPr>
      <w:r>
        <w:rPr>
          <w:rFonts w:hint="eastAsia"/>
        </w:rPr>
        <w:t>本文件按照GB/T 1.1—2020《标准化工作导则  第1部分：标准化文件的结构和起草规则》的规定起草。</w:t>
      </w:r>
    </w:p>
    <w:p w:rsidR="00513FCE" w:rsidRDefault="00F1196B">
      <w:pPr>
        <w:pStyle w:val="affffe"/>
        <w:ind w:firstLine="420"/>
      </w:pPr>
      <w:r>
        <w:rPr>
          <w:rFonts w:hint="eastAsia"/>
        </w:rPr>
        <w:t>本文件由山西省农业农村厅提出、组织实施和监督检查。</w:t>
      </w:r>
    </w:p>
    <w:p w:rsidR="00513FCE" w:rsidRDefault="00F1196B">
      <w:pPr>
        <w:pStyle w:val="afffffffffff3"/>
      </w:pPr>
      <w:r>
        <w:rPr>
          <w:rFonts w:hint="eastAsia"/>
        </w:rPr>
        <w:t>本文件由山西省市场监督管理局对标准的组织实施情况进行监督检查。</w:t>
      </w:r>
    </w:p>
    <w:p w:rsidR="00513FCE" w:rsidRDefault="00F1196B">
      <w:pPr>
        <w:pStyle w:val="affffe"/>
        <w:ind w:firstLine="420"/>
      </w:pPr>
      <w:r>
        <w:rPr>
          <w:rFonts w:hint="eastAsia"/>
        </w:rPr>
        <w:t>本文件由山西省农业标准化技术委员会归口。</w:t>
      </w:r>
    </w:p>
    <w:p w:rsidR="00513FCE" w:rsidRDefault="00F1196B">
      <w:pPr>
        <w:pStyle w:val="affffe"/>
        <w:ind w:firstLine="420"/>
      </w:pPr>
      <w:r>
        <w:rPr>
          <w:rFonts w:hint="eastAsia"/>
        </w:rPr>
        <w:t>本文件起草单位：山西省耕地质量监测保护中心。</w:t>
      </w:r>
    </w:p>
    <w:p w:rsidR="00513FCE" w:rsidRDefault="00F1196B">
      <w:pPr>
        <w:pStyle w:val="affffe"/>
        <w:ind w:firstLine="420"/>
      </w:pPr>
      <w:r>
        <w:rPr>
          <w:rFonts w:hint="eastAsia"/>
        </w:rPr>
        <w:t>本文件主要起草人：郑必昭、王海景、贾彬良、赵耀巍、张丽、王慧杰、郭郁、王瑞、孟颖晨、韩秀英、陈海鹏、高杰、兰晓庆、赵嘉祺、赵小凤、李风奇、张新、刘小华、王丹。</w:t>
      </w:r>
    </w:p>
    <w:p w:rsidR="00513FCE" w:rsidRDefault="00513FCE">
      <w:pPr>
        <w:pStyle w:val="affffe"/>
        <w:ind w:firstLine="420"/>
        <w:sectPr w:rsidR="00513FCE">
          <w:pgSz w:w="11906" w:h="16838"/>
          <w:pgMar w:top="1928" w:right="1134" w:bottom="1134" w:left="1134" w:header="1418" w:footer="1134" w:gutter="284"/>
          <w:pgNumType w:fmt="upperRoman"/>
          <w:cols w:space="425"/>
          <w:formProt w:val="0"/>
          <w:docGrid w:type="lines" w:linePitch="312"/>
        </w:sectPr>
      </w:pPr>
    </w:p>
    <w:p w:rsidR="00513FCE" w:rsidRDefault="00513FCE">
      <w:pPr>
        <w:spacing w:line="20" w:lineRule="exact"/>
        <w:jc w:val="center"/>
        <w:rPr>
          <w:rFonts w:ascii="黑体" w:eastAsia="黑体" w:hAnsi="黑体"/>
          <w:sz w:val="32"/>
          <w:szCs w:val="32"/>
        </w:rPr>
      </w:pPr>
      <w:bookmarkStart w:id="26" w:name="BookMark4"/>
      <w:bookmarkEnd w:id="25"/>
    </w:p>
    <w:p w:rsidR="00513FCE" w:rsidRDefault="00513FCE">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E00F15FDB3A7436AAB9FE6A74F1CDAE3"/>
        </w:placeholder>
      </w:sdtPr>
      <w:sdtEndPr/>
      <w:sdtContent>
        <w:p w:rsidR="00513FCE" w:rsidRDefault="00F1196B">
          <w:pPr>
            <w:pStyle w:val="afffffffff1"/>
            <w:spacing w:beforeLines="1" w:before="3" w:afterLines="220" w:after="686"/>
          </w:pPr>
          <w:r>
            <w:rPr>
              <w:rFonts w:hint="eastAsia"/>
            </w:rPr>
            <w:t>新增耕地耕层土壤熟化技术规程</w:t>
          </w:r>
          <w:r>
            <w:t>     </w:t>
          </w:r>
        </w:p>
      </w:sdtContent>
    </w:sdt>
    <w:p w:rsidR="00513FCE" w:rsidRDefault="00F1196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81112930"/>
      <w:bookmarkStart w:id="38" w:name="_Toc181113705"/>
      <w:bookmarkEnd w:id="27"/>
      <w:r>
        <w:rPr>
          <w:rFonts w:hint="eastAsia"/>
        </w:rPr>
        <w:t>范围</w:t>
      </w:r>
      <w:bookmarkEnd w:id="28"/>
      <w:bookmarkEnd w:id="29"/>
      <w:bookmarkEnd w:id="30"/>
      <w:bookmarkEnd w:id="31"/>
      <w:bookmarkEnd w:id="32"/>
      <w:bookmarkEnd w:id="33"/>
      <w:bookmarkEnd w:id="34"/>
      <w:bookmarkEnd w:id="35"/>
      <w:bookmarkEnd w:id="36"/>
      <w:bookmarkEnd w:id="37"/>
      <w:bookmarkEnd w:id="38"/>
    </w:p>
    <w:p w:rsidR="00513FCE" w:rsidRDefault="00F1196B">
      <w:pPr>
        <w:pStyle w:val="affffe"/>
        <w:ind w:firstLine="420"/>
      </w:pPr>
      <w:bookmarkStart w:id="39" w:name="_Toc17233326"/>
      <w:bookmarkStart w:id="40" w:name="_Toc17233334"/>
      <w:bookmarkStart w:id="41" w:name="_Toc24884212"/>
      <w:bookmarkStart w:id="42" w:name="_Toc24884219"/>
      <w:bookmarkStart w:id="43" w:name="_Toc26648466"/>
      <w:r>
        <w:rPr>
          <w:rFonts w:hint="eastAsia"/>
        </w:rPr>
        <w:t>本文件规定了新增耕地耕层土壤熟化的术语和定义、原则、指标及测定、措施及方法、耕地质量评价、熟化期限、档案记录等。</w:t>
      </w:r>
    </w:p>
    <w:p w:rsidR="00513FCE" w:rsidRDefault="00F1196B">
      <w:pPr>
        <w:pStyle w:val="affc"/>
        <w:spacing w:before="312" w:after="312"/>
      </w:pPr>
      <w:bookmarkStart w:id="44" w:name="_Toc26718931"/>
      <w:bookmarkStart w:id="45" w:name="_Toc26986531"/>
      <w:bookmarkStart w:id="46" w:name="_Toc26986772"/>
      <w:bookmarkStart w:id="47" w:name="_Toc97191424"/>
      <w:bookmarkStart w:id="48" w:name="_Toc181112931"/>
      <w:bookmarkStart w:id="49" w:name="_Toc181113706"/>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B2C1C14C66494AF8903CECD35268ABB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13FCE" w:rsidRDefault="00F1196B">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13FCE" w:rsidRDefault="00F1196B">
      <w:pPr>
        <w:pStyle w:val="affffe"/>
        <w:ind w:firstLine="420"/>
      </w:pPr>
      <w:r>
        <w:rPr>
          <w:rFonts w:hint="eastAsia"/>
        </w:rPr>
        <w:t>GB/T 33469 耕地质量等级</w:t>
      </w:r>
    </w:p>
    <w:p w:rsidR="00513FCE" w:rsidRDefault="00F1196B">
      <w:pPr>
        <w:pStyle w:val="affffe"/>
        <w:ind w:firstLine="420"/>
      </w:pPr>
      <w:r>
        <w:rPr>
          <w:rFonts w:hint="eastAsia"/>
        </w:rPr>
        <w:t>NY/T 525 有机肥料</w:t>
      </w:r>
    </w:p>
    <w:p w:rsidR="00513FCE" w:rsidRDefault="00F1196B">
      <w:pPr>
        <w:pStyle w:val="affffe"/>
        <w:ind w:firstLine="420"/>
      </w:pPr>
      <w:r>
        <w:rPr>
          <w:rFonts w:hint="eastAsia"/>
        </w:rPr>
        <w:t>NY/T 889 土壤速效钾和缓效钾含量的测定</w:t>
      </w:r>
    </w:p>
    <w:p w:rsidR="00513FCE" w:rsidRDefault="00F1196B">
      <w:pPr>
        <w:pStyle w:val="affffe"/>
        <w:ind w:firstLine="420"/>
      </w:pPr>
      <w:r>
        <w:rPr>
          <w:rFonts w:hint="eastAsia"/>
        </w:rPr>
        <w:t>NY/T 1119 耕地质量监测技术规程</w:t>
      </w:r>
    </w:p>
    <w:p w:rsidR="00513FCE" w:rsidRDefault="00F1196B">
      <w:pPr>
        <w:pStyle w:val="affffe"/>
        <w:ind w:firstLine="420"/>
      </w:pPr>
      <w:r>
        <w:rPr>
          <w:rFonts w:hint="eastAsia"/>
        </w:rPr>
        <w:t>NY/T 1121.1 土壤检测 第1部分：土壤样品的采集、处理和贮存</w:t>
      </w:r>
    </w:p>
    <w:p w:rsidR="00513FCE" w:rsidRDefault="00F1196B">
      <w:pPr>
        <w:pStyle w:val="affffe"/>
        <w:ind w:firstLine="420"/>
      </w:pPr>
      <w:r>
        <w:rPr>
          <w:rFonts w:hint="eastAsia"/>
        </w:rPr>
        <w:t>NY/T 1121.2 土壤检测 第2部分：土壤pH的测定</w:t>
      </w:r>
    </w:p>
    <w:p w:rsidR="00513FCE" w:rsidRDefault="00F1196B">
      <w:pPr>
        <w:pStyle w:val="affffe"/>
        <w:ind w:firstLine="420"/>
      </w:pPr>
      <w:r>
        <w:rPr>
          <w:rFonts w:hint="eastAsia"/>
        </w:rPr>
        <w:t>NY/T 1121.4 土壤检测 第4部分：土壤容重的测定</w:t>
      </w:r>
    </w:p>
    <w:p w:rsidR="00513FCE" w:rsidRDefault="00F1196B">
      <w:pPr>
        <w:pStyle w:val="affffe"/>
        <w:ind w:firstLine="420"/>
      </w:pPr>
      <w:r>
        <w:rPr>
          <w:rFonts w:hint="eastAsia"/>
        </w:rPr>
        <w:t>NY/T 1121.6 土壤检测 第6部分：土壤有机质的测定</w:t>
      </w:r>
    </w:p>
    <w:p w:rsidR="00513FCE" w:rsidRDefault="00F1196B">
      <w:pPr>
        <w:pStyle w:val="affffe"/>
        <w:ind w:firstLine="420"/>
      </w:pPr>
      <w:r>
        <w:rPr>
          <w:rFonts w:hint="eastAsia"/>
        </w:rPr>
        <w:t>NY/T 1121.7 土壤检测 第7部分：土壤有效磷的测定</w:t>
      </w:r>
    </w:p>
    <w:p w:rsidR="00513FCE" w:rsidRDefault="00F1196B">
      <w:pPr>
        <w:pStyle w:val="affffe"/>
        <w:ind w:firstLine="420"/>
      </w:pPr>
      <w:r>
        <w:rPr>
          <w:rFonts w:hint="eastAsia"/>
        </w:rPr>
        <w:t>NY/T 1121.24 土壤检测 第24部分：土壤全氮的测定 自动定氮仪法</w:t>
      </w:r>
    </w:p>
    <w:p w:rsidR="00513FCE" w:rsidRDefault="00F1196B">
      <w:pPr>
        <w:pStyle w:val="affc"/>
        <w:spacing w:before="312" w:after="312"/>
      </w:pPr>
      <w:bookmarkStart w:id="50" w:name="_Toc97191425"/>
      <w:bookmarkStart w:id="51" w:name="_Toc181112932"/>
      <w:bookmarkStart w:id="52" w:name="_Toc181113707"/>
      <w:r>
        <w:rPr>
          <w:rFonts w:hint="eastAsia"/>
          <w:szCs w:val="21"/>
        </w:rPr>
        <w:t>术语和定义</w:t>
      </w:r>
      <w:bookmarkEnd w:id="50"/>
      <w:bookmarkEnd w:id="51"/>
      <w:bookmarkEnd w:id="52"/>
    </w:p>
    <w:bookmarkStart w:id="53" w:name="_Toc26986532" w:displacedByCustomXml="next"/>
    <w:bookmarkEnd w:id="53" w:displacedByCustomXml="next"/>
    <w:sdt>
      <w:sdtPr>
        <w:id w:val="-1909835108"/>
        <w:placeholder>
          <w:docPart w:val="D01A3E9880184EB28CF8CE4AE2B6A2C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13FCE" w:rsidRDefault="00F1196B">
          <w:pPr>
            <w:pStyle w:val="affffe"/>
            <w:ind w:firstLine="420"/>
          </w:pPr>
          <w:r>
            <w:t>下列术语和定义适用于本文件。</w:t>
          </w:r>
        </w:p>
      </w:sdtContent>
    </w:sdt>
    <w:p w:rsidR="00513FCE" w:rsidRDefault="00F1196B">
      <w:pPr>
        <w:pStyle w:val="affd"/>
        <w:spacing w:before="156" w:after="156"/>
      </w:pPr>
      <w:bookmarkStart w:id="54" w:name="_Toc181112933"/>
      <w:r>
        <w:rPr>
          <w:rFonts w:hint="eastAsia"/>
        </w:rPr>
        <w:t>新增耕地</w:t>
      </w:r>
      <w:bookmarkEnd w:id="54"/>
    </w:p>
    <w:p w:rsidR="00513FCE" w:rsidRDefault="00F1196B">
      <w:pPr>
        <w:pStyle w:val="affffe"/>
        <w:ind w:firstLine="420"/>
      </w:pPr>
      <w:r>
        <w:rPr>
          <w:rFonts w:hint="eastAsia"/>
        </w:rPr>
        <w:t>在耕地占补平衡推进过程中，通过开垦荒山缓坡、土地整理、开发复垦等方式新增的具有地表熟土被移除、生土裸露、有机质含量低、养分缺乏、通气性差、易板结等特点的耕地。</w:t>
      </w:r>
    </w:p>
    <w:p w:rsidR="00513FCE" w:rsidRDefault="00F1196B">
      <w:pPr>
        <w:pStyle w:val="affd"/>
        <w:spacing w:before="156" w:after="156"/>
      </w:pPr>
      <w:bookmarkStart w:id="55" w:name="_Toc181112934"/>
      <w:r>
        <w:rPr>
          <w:rFonts w:hint="eastAsia"/>
        </w:rPr>
        <w:t>土壤熟化</w:t>
      </w:r>
      <w:bookmarkEnd w:id="55"/>
    </w:p>
    <w:p w:rsidR="00513FCE" w:rsidRDefault="00F1196B">
      <w:pPr>
        <w:pStyle w:val="affffe"/>
        <w:ind w:firstLine="420"/>
      </w:pPr>
      <w:r>
        <w:rPr>
          <w:rFonts w:hint="eastAsia"/>
        </w:rPr>
        <w:t>通过各种技术措施，使土壤的适宜耕作性不断改善，肥力不断提高，生土逐步转变为适合作物生长的耕作土壤，即生土变熟土的过程。</w:t>
      </w:r>
    </w:p>
    <w:p w:rsidR="00513FCE" w:rsidRDefault="00F1196B">
      <w:pPr>
        <w:pStyle w:val="affc"/>
        <w:spacing w:before="312" w:after="312"/>
      </w:pPr>
      <w:bookmarkStart w:id="56" w:name="_Toc181112935"/>
      <w:bookmarkStart w:id="57" w:name="_Toc181113708"/>
      <w:r>
        <w:rPr>
          <w:rFonts w:hint="eastAsia"/>
        </w:rPr>
        <w:t>土壤熟化原则</w:t>
      </w:r>
      <w:bookmarkEnd w:id="56"/>
      <w:bookmarkEnd w:id="57"/>
    </w:p>
    <w:p w:rsidR="00513FCE" w:rsidRDefault="00F1196B">
      <w:pPr>
        <w:pStyle w:val="affffe"/>
        <w:ind w:firstLine="420"/>
      </w:pPr>
      <w:r>
        <w:rPr>
          <w:rFonts w:hint="eastAsia"/>
        </w:rPr>
        <w:t>通过平衡使用无机肥料、增施有机肥、合理施用土壤调理剂，配合秸秆还田、绿肥种植、合理耕作等技术措施，改良土壤物理结构、提高化学养分和微生物多样性，综合提升土壤生产能力，满足作物生长发育需要，达到土壤熟化指标要求。</w:t>
      </w:r>
    </w:p>
    <w:p w:rsidR="00513FCE" w:rsidRDefault="00F1196B">
      <w:pPr>
        <w:pStyle w:val="affc"/>
        <w:spacing w:before="312" w:after="312"/>
      </w:pPr>
      <w:bookmarkStart w:id="58" w:name="_Toc181112936"/>
      <w:bookmarkStart w:id="59" w:name="_Toc181113709"/>
      <w:r>
        <w:rPr>
          <w:rFonts w:hint="eastAsia"/>
        </w:rPr>
        <w:lastRenderedPageBreak/>
        <w:t>指标及测定</w:t>
      </w:r>
      <w:bookmarkEnd w:id="58"/>
      <w:bookmarkEnd w:id="59"/>
    </w:p>
    <w:p w:rsidR="00513FCE" w:rsidRDefault="00F1196B">
      <w:pPr>
        <w:pStyle w:val="affd"/>
        <w:spacing w:before="156" w:after="156"/>
      </w:pPr>
      <w:bookmarkStart w:id="60" w:name="_Toc181112937"/>
      <w:r>
        <w:rPr>
          <w:rFonts w:hint="eastAsia"/>
        </w:rPr>
        <w:t>土壤理化主要指标</w:t>
      </w:r>
      <w:bookmarkEnd w:id="60"/>
    </w:p>
    <w:p w:rsidR="00513FCE" w:rsidRDefault="00F1196B">
      <w:pPr>
        <w:pStyle w:val="affffe"/>
        <w:ind w:firstLine="420"/>
      </w:pPr>
      <w:r>
        <w:rPr>
          <w:rFonts w:hint="eastAsia"/>
        </w:rPr>
        <w:t>耕层土壤有机质含量大于6 g/kg，较初期提升2 g/kg；土壤全氮含量大于0.50 g/kg；有效磷含量大于5 mg/kg；速效钾含量大于100 mg/kg；土壤pH值在5.5～8.5之间；土壤容重在0.9 g/cm</w:t>
      </w:r>
      <w:r>
        <w:rPr>
          <w:rFonts w:hint="eastAsia"/>
          <w:vertAlign w:val="superscript"/>
        </w:rPr>
        <w:t>3</w:t>
      </w:r>
      <w:r>
        <w:rPr>
          <w:rFonts w:hint="eastAsia"/>
        </w:rPr>
        <w:t>～1.6 g/cm</w:t>
      </w:r>
      <w:r>
        <w:rPr>
          <w:rFonts w:hint="eastAsia"/>
          <w:vertAlign w:val="superscript"/>
        </w:rPr>
        <w:t>3</w:t>
      </w:r>
      <w:r>
        <w:rPr>
          <w:rFonts w:hint="eastAsia"/>
        </w:rPr>
        <w:t>之间。</w:t>
      </w:r>
    </w:p>
    <w:p w:rsidR="00513FCE" w:rsidRDefault="00F1196B">
      <w:pPr>
        <w:pStyle w:val="affd"/>
        <w:spacing w:before="156" w:after="156"/>
      </w:pPr>
      <w:bookmarkStart w:id="61" w:name="_Toc181112938"/>
      <w:r>
        <w:rPr>
          <w:rFonts w:hint="eastAsia"/>
        </w:rPr>
        <w:t>土壤生物性状指标</w:t>
      </w:r>
      <w:bookmarkEnd w:id="61"/>
    </w:p>
    <w:p w:rsidR="00513FCE" w:rsidRDefault="00F1196B">
      <w:pPr>
        <w:pStyle w:val="affffe"/>
        <w:ind w:firstLine="420"/>
      </w:pPr>
      <w:r>
        <w:rPr>
          <w:rFonts w:hint="eastAsia"/>
        </w:rPr>
        <w:t>土壤微生物生物量碳大于50mg/kg，土壤微生物生物量氮大于5mg/kg。</w:t>
      </w:r>
    </w:p>
    <w:p w:rsidR="00513FCE" w:rsidRDefault="00F1196B">
      <w:pPr>
        <w:pStyle w:val="affd"/>
        <w:spacing w:before="156" w:after="156"/>
      </w:pPr>
      <w:bookmarkStart w:id="62" w:name="_Toc181112939"/>
      <w:r>
        <w:rPr>
          <w:rFonts w:hint="eastAsia"/>
        </w:rPr>
        <w:t>其他指标</w:t>
      </w:r>
      <w:bookmarkEnd w:id="62"/>
    </w:p>
    <w:p w:rsidR="00513FCE" w:rsidRDefault="00F1196B">
      <w:pPr>
        <w:pStyle w:val="affffe"/>
        <w:ind w:firstLine="420"/>
      </w:pPr>
      <w:r>
        <w:rPr>
          <w:rFonts w:hint="eastAsia"/>
        </w:rPr>
        <w:t>土壤熟化后，农作物产量增加750kg/hm2，耕地质量等级提高1个等级。</w:t>
      </w:r>
    </w:p>
    <w:p w:rsidR="00513FCE" w:rsidRDefault="00F1196B">
      <w:pPr>
        <w:pStyle w:val="affd"/>
        <w:spacing w:before="156" w:after="156"/>
      </w:pPr>
      <w:bookmarkStart w:id="63" w:name="_Toc181112940"/>
      <w:r>
        <w:rPr>
          <w:rFonts w:hint="eastAsia"/>
        </w:rPr>
        <w:t>测定方法</w:t>
      </w:r>
      <w:bookmarkEnd w:id="63"/>
    </w:p>
    <w:p w:rsidR="00513FCE" w:rsidRDefault="00F1196B">
      <w:pPr>
        <w:pStyle w:val="affffe"/>
        <w:ind w:firstLine="420"/>
      </w:pPr>
      <w:r>
        <w:rPr>
          <w:rFonts w:hint="eastAsia"/>
        </w:rPr>
        <w:t>各指标测定方法如下。</w:t>
      </w:r>
    </w:p>
    <w:p w:rsidR="00513FCE" w:rsidRDefault="00F1196B">
      <w:pPr>
        <w:pStyle w:val="affffe"/>
        <w:ind w:firstLine="420"/>
      </w:pPr>
      <w:r>
        <w:rPr>
          <w:rFonts w:hint="eastAsia"/>
        </w:rPr>
        <w:t>a)土壤样品采集、处理和贮存按照NY/T 1121.1执行。</w:t>
      </w:r>
    </w:p>
    <w:p w:rsidR="00513FCE" w:rsidRDefault="00F1196B">
      <w:pPr>
        <w:pStyle w:val="affffe"/>
        <w:ind w:firstLine="420"/>
      </w:pPr>
      <w:r>
        <w:rPr>
          <w:rFonts w:hint="eastAsia"/>
        </w:rPr>
        <w:t>b)土壤有机质的测定按照NY/T 1121.6执行。</w:t>
      </w:r>
    </w:p>
    <w:p w:rsidR="00513FCE" w:rsidRDefault="00F1196B">
      <w:pPr>
        <w:pStyle w:val="affffe"/>
        <w:ind w:firstLine="420"/>
      </w:pPr>
      <w:r>
        <w:rPr>
          <w:rFonts w:hint="eastAsia"/>
        </w:rPr>
        <w:t>c)土壤全氮的测定按照NY/T 1121.24执行。</w:t>
      </w:r>
    </w:p>
    <w:p w:rsidR="00513FCE" w:rsidRDefault="00F1196B">
      <w:pPr>
        <w:pStyle w:val="affffe"/>
        <w:ind w:firstLine="420"/>
      </w:pPr>
      <w:r>
        <w:rPr>
          <w:rFonts w:hint="eastAsia"/>
        </w:rPr>
        <w:t>d)土壤pH值的测定按照NY/T 1121.2执行。</w:t>
      </w:r>
    </w:p>
    <w:p w:rsidR="00513FCE" w:rsidRDefault="00F1196B">
      <w:pPr>
        <w:pStyle w:val="affffe"/>
        <w:ind w:firstLine="420"/>
      </w:pPr>
      <w:r>
        <w:rPr>
          <w:rFonts w:hint="eastAsia"/>
        </w:rPr>
        <w:t>e)土壤有效磷的测定按照NY/T 1121.7执行</w:t>
      </w:r>
    </w:p>
    <w:p w:rsidR="00513FCE" w:rsidRDefault="00F1196B">
      <w:pPr>
        <w:pStyle w:val="affffe"/>
        <w:ind w:firstLine="420"/>
      </w:pPr>
      <w:r>
        <w:rPr>
          <w:rFonts w:hint="eastAsia"/>
        </w:rPr>
        <w:t>f)土壤速效钾的测定按照NY/T 889执行。</w:t>
      </w:r>
    </w:p>
    <w:p w:rsidR="00513FCE" w:rsidRDefault="00F1196B">
      <w:pPr>
        <w:pStyle w:val="affffe"/>
        <w:ind w:firstLine="420"/>
      </w:pPr>
      <w:r>
        <w:rPr>
          <w:rFonts w:hint="eastAsia"/>
        </w:rPr>
        <w:t>g)土壤容重的测定按NY/T 1121.4执行。</w:t>
      </w:r>
    </w:p>
    <w:p w:rsidR="00513FCE" w:rsidRDefault="00F1196B">
      <w:pPr>
        <w:pStyle w:val="affffe"/>
        <w:ind w:firstLine="420"/>
      </w:pPr>
      <w:r>
        <w:rPr>
          <w:rFonts w:hint="eastAsia"/>
        </w:rPr>
        <w:t>h)土壤微生物生物量碳、氮的测定按照NY/T 1119执行。</w:t>
      </w:r>
    </w:p>
    <w:p w:rsidR="00513FCE" w:rsidRDefault="00F1196B">
      <w:pPr>
        <w:pStyle w:val="affc"/>
        <w:spacing w:before="312" w:after="312"/>
      </w:pPr>
      <w:bookmarkStart w:id="64" w:name="_Toc181113710"/>
      <w:bookmarkStart w:id="65" w:name="_Toc181112941"/>
      <w:r>
        <w:rPr>
          <w:rFonts w:hint="eastAsia"/>
        </w:rPr>
        <w:t>措施及方法</w:t>
      </w:r>
      <w:bookmarkEnd w:id="64"/>
      <w:bookmarkEnd w:id="65"/>
    </w:p>
    <w:p w:rsidR="00513FCE" w:rsidRDefault="00F1196B">
      <w:pPr>
        <w:pStyle w:val="affd"/>
        <w:spacing w:before="156" w:after="156"/>
      </w:pPr>
      <w:bookmarkStart w:id="66" w:name="_Toc181112942"/>
      <w:r>
        <w:rPr>
          <w:rFonts w:hint="eastAsia"/>
        </w:rPr>
        <w:t>施用无机肥料</w:t>
      </w:r>
      <w:bookmarkEnd w:id="66"/>
    </w:p>
    <w:p w:rsidR="00513FCE" w:rsidRDefault="00F1196B">
      <w:pPr>
        <w:pStyle w:val="affffe"/>
        <w:ind w:firstLine="420"/>
      </w:pPr>
      <w:r>
        <w:rPr>
          <w:rFonts w:hint="eastAsia"/>
        </w:rPr>
        <w:t>根据土壤供肥性能、作物需肥特性与肥料施用效应，确定氮、磷、钾肥养分推荐施用量。施肥过程中要氮肥总量控制、分期按需追肥，磷钾肥衡量补充，中微量元素因土补缺。</w:t>
      </w:r>
    </w:p>
    <w:p w:rsidR="00513FCE" w:rsidRDefault="00F1196B">
      <w:pPr>
        <w:pStyle w:val="affd"/>
        <w:spacing w:before="156" w:after="156"/>
      </w:pPr>
      <w:bookmarkStart w:id="67" w:name="_Toc181112943"/>
      <w:r>
        <w:rPr>
          <w:rFonts w:hint="eastAsia"/>
        </w:rPr>
        <w:t>增施有机肥料</w:t>
      </w:r>
      <w:bookmarkEnd w:id="67"/>
    </w:p>
    <w:p w:rsidR="00513FCE" w:rsidRDefault="00F1196B">
      <w:pPr>
        <w:pStyle w:val="affe"/>
        <w:spacing w:before="156" w:after="156"/>
      </w:pPr>
      <w:r>
        <w:rPr>
          <w:rFonts w:hint="eastAsia"/>
        </w:rPr>
        <w:t>肥料选择</w:t>
      </w:r>
    </w:p>
    <w:p w:rsidR="00513FCE" w:rsidRDefault="00F1196B">
      <w:pPr>
        <w:pStyle w:val="affffe"/>
        <w:ind w:firstLine="420"/>
      </w:pPr>
      <w:r>
        <w:rPr>
          <w:rFonts w:hint="eastAsia"/>
        </w:rPr>
        <w:t>有机肥料可采用经过堆腐或沤制腐熟、无毒、无害的农家肥，也可以选用符合NY/T 525质量要求的商品有机肥。</w:t>
      </w:r>
    </w:p>
    <w:p w:rsidR="00513FCE" w:rsidRDefault="00F1196B">
      <w:pPr>
        <w:pStyle w:val="affe"/>
        <w:spacing w:before="156" w:after="156"/>
      </w:pPr>
      <w:r>
        <w:rPr>
          <w:rFonts w:hint="eastAsia"/>
        </w:rPr>
        <w:t>肥料用量</w:t>
      </w:r>
    </w:p>
    <w:p w:rsidR="00513FCE" w:rsidRDefault="00F1196B">
      <w:pPr>
        <w:pStyle w:val="affffe"/>
        <w:ind w:firstLine="420"/>
      </w:pPr>
      <w:r>
        <w:rPr>
          <w:rFonts w:hint="eastAsia"/>
        </w:rPr>
        <w:t>施用符合NY/T525要求的商品有机肥4.5 t/hm</w:t>
      </w:r>
      <w:r>
        <w:rPr>
          <w:rFonts w:hint="eastAsia"/>
          <w:vertAlign w:val="superscript"/>
        </w:rPr>
        <w:t>2</w:t>
      </w:r>
      <w:r>
        <w:rPr>
          <w:rFonts w:hint="eastAsia"/>
        </w:rPr>
        <w:t xml:space="preserve"> </w:t>
      </w:r>
      <w:r>
        <w:rPr>
          <w:rFonts w:hint="eastAsia"/>
          <w:color w:val="000000"/>
        </w:rPr>
        <w:t>～</w:t>
      </w:r>
      <w:r>
        <w:rPr>
          <w:rFonts w:hint="eastAsia"/>
        </w:rPr>
        <w:t xml:space="preserve"> 7.5 t/hm</w:t>
      </w:r>
      <w:r>
        <w:rPr>
          <w:rFonts w:hint="eastAsia"/>
          <w:vertAlign w:val="superscript"/>
        </w:rPr>
        <w:t>2</w:t>
      </w:r>
      <w:r>
        <w:rPr>
          <w:rFonts w:hint="eastAsia"/>
        </w:rPr>
        <w:t>。农家肥一般施用9 t/hm</w:t>
      </w:r>
      <w:r>
        <w:rPr>
          <w:rFonts w:hint="eastAsia"/>
          <w:vertAlign w:val="superscript"/>
        </w:rPr>
        <w:t>2</w:t>
      </w:r>
      <w:r>
        <w:rPr>
          <w:rFonts w:hint="eastAsia"/>
        </w:rPr>
        <w:t xml:space="preserve"> </w:t>
      </w:r>
      <w:r>
        <w:rPr>
          <w:rFonts w:hAnsi="宋体" w:hint="eastAsia"/>
        </w:rPr>
        <w:t>～</w:t>
      </w:r>
      <w:r>
        <w:rPr>
          <w:rFonts w:hint="eastAsia"/>
        </w:rPr>
        <w:t xml:space="preserve"> 15 t/hm</w:t>
      </w:r>
      <w:r>
        <w:rPr>
          <w:rFonts w:hint="eastAsia"/>
          <w:vertAlign w:val="superscript"/>
        </w:rPr>
        <w:t>2</w:t>
      </w:r>
      <w:r>
        <w:rPr>
          <w:rFonts w:hint="eastAsia"/>
        </w:rPr>
        <w:t>。</w:t>
      </w:r>
    </w:p>
    <w:p w:rsidR="00513FCE" w:rsidRDefault="00F1196B">
      <w:pPr>
        <w:pStyle w:val="affe"/>
        <w:spacing w:before="156" w:after="156"/>
      </w:pPr>
      <w:r>
        <w:rPr>
          <w:rFonts w:hint="eastAsia"/>
        </w:rPr>
        <w:t>施用方法</w:t>
      </w:r>
    </w:p>
    <w:p w:rsidR="00513FCE" w:rsidRDefault="00F1196B">
      <w:pPr>
        <w:pStyle w:val="affffe"/>
        <w:ind w:firstLine="420"/>
      </w:pPr>
      <w:r>
        <w:rPr>
          <w:rFonts w:hint="eastAsia"/>
        </w:rPr>
        <w:t>有机肥料做基肥，在农田休闲期或作物播种前结合翻耕，均匀施入土壤。</w:t>
      </w:r>
    </w:p>
    <w:p w:rsidR="00513FCE" w:rsidRDefault="00F1196B">
      <w:pPr>
        <w:pStyle w:val="affd"/>
        <w:spacing w:before="156" w:after="156"/>
      </w:pPr>
      <w:bookmarkStart w:id="68" w:name="_Toc181112944"/>
      <w:r>
        <w:rPr>
          <w:rFonts w:hint="eastAsia"/>
        </w:rPr>
        <w:t>秸秆还田</w:t>
      </w:r>
      <w:bookmarkEnd w:id="68"/>
    </w:p>
    <w:p w:rsidR="00513FCE" w:rsidRDefault="00F1196B">
      <w:pPr>
        <w:pStyle w:val="affe"/>
        <w:spacing w:before="156" w:after="156"/>
      </w:pPr>
      <w:r>
        <w:rPr>
          <w:rFonts w:hint="eastAsia"/>
        </w:rPr>
        <w:lastRenderedPageBreak/>
        <w:t>还田数量</w:t>
      </w:r>
    </w:p>
    <w:p w:rsidR="00513FCE" w:rsidRDefault="00F1196B">
      <w:pPr>
        <w:pStyle w:val="affffe"/>
        <w:ind w:firstLine="420"/>
      </w:pPr>
      <w:r>
        <w:rPr>
          <w:rFonts w:hint="eastAsia"/>
        </w:rPr>
        <w:t>秸秆还田数量应根据种植农作物种类及产量水平而定，可采用作物秸秆的全量还田。</w:t>
      </w:r>
    </w:p>
    <w:p w:rsidR="00513FCE" w:rsidRDefault="00F1196B">
      <w:pPr>
        <w:pStyle w:val="affe"/>
        <w:spacing w:before="156" w:after="156"/>
      </w:pPr>
      <w:r>
        <w:rPr>
          <w:rFonts w:hint="eastAsia"/>
        </w:rPr>
        <w:t>还田方式</w:t>
      </w:r>
    </w:p>
    <w:p w:rsidR="00513FCE" w:rsidRDefault="00F1196B">
      <w:pPr>
        <w:pStyle w:val="affffe"/>
        <w:ind w:firstLine="420"/>
      </w:pPr>
      <w:r>
        <w:rPr>
          <w:rFonts w:hint="eastAsia"/>
        </w:rPr>
        <w:t>采用可粉碎秸秆的收割机，在农作物收获时将秸秆粉碎均匀抛撒于地表并翻压还田，也可在农作物收获后单独使用秸秆粉碎机直接翻压还田，还可作覆盖材料，覆盖地表保墒，在下茬农作物播种前翻压。粉碎的秸秆长度应不大于10cm。秸秆粉碎还田后，补施氮肥调节碳氮比，适度调高基施氮肥使用比例。发生严重病虫害的秸秆不宜还田，应及时移除。</w:t>
      </w:r>
    </w:p>
    <w:p w:rsidR="00513FCE" w:rsidRDefault="00F1196B">
      <w:pPr>
        <w:pStyle w:val="affd"/>
        <w:spacing w:before="156" w:after="156"/>
      </w:pPr>
      <w:bookmarkStart w:id="69" w:name="_Toc181112945"/>
      <w:r>
        <w:rPr>
          <w:rFonts w:hint="eastAsia"/>
        </w:rPr>
        <w:t>绿肥种植</w:t>
      </w:r>
      <w:bookmarkEnd w:id="69"/>
    </w:p>
    <w:p w:rsidR="00513FCE" w:rsidRDefault="00F1196B">
      <w:pPr>
        <w:pStyle w:val="affe"/>
        <w:spacing w:before="156" w:after="156"/>
      </w:pPr>
      <w:r>
        <w:rPr>
          <w:rFonts w:hint="eastAsia"/>
        </w:rPr>
        <w:t>品种选择</w:t>
      </w:r>
    </w:p>
    <w:p w:rsidR="00513FCE" w:rsidRDefault="00F1196B">
      <w:pPr>
        <w:pStyle w:val="affffe"/>
        <w:ind w:firstLine="420"/>
      </w:pPr>
      <w:r>
        <w:rPr>
          <w:rFonts w:hint="eastAsia"/>
        </w:rPr>
        <w:t>依据区域降水量、积温及种植制度选择适宜绿肥品种，山西省常用的绿肥有夏绿肥、冬绿肥和多年生绿肥三大类。生土熟化效果较好的夏绿肥主要田菁、绿豆、大豆、蚕豆、豌豆和箭筈豌豆等，一般在4 月-5 月播种；冬绿肥常用的有主要为毛叶苕子、箭筈豌豆、绿肥油菜，一般在9 月-10 月播种；多年生绿肥主要为紫花苜蓿、草木樨等，可以春播也可以秋播。</w:t>
      </w:r>
    </w:p>
    <w:p w:rsidR="00513FCE" w:rsidRDefault="00F1196B">
      <w:pPr>
        <w:pStyle w:val="affe"/>
        <w:spacing w:before="156" w:after="156"/>
      </w:pPr>
      <w:r>
        <w:rPr>
          <w:rFonts w:hint="eastAsia"/>
        </w:rPr>
        <w:t>播种方法</w:t>
      </w:r>
    </w:p>
    <w:p w:rsidR="00513FCE" w:rsidRDefault="00F1196B">
      <w:pPr>
        <w:pStyle w:val="affffe"/>
        <w:ind w:firstLine="420"/>
      </w:pPr>
      <w:r>
        <w:rPr>
          <w:rFonts w:hint="eastAsia"/>
        </w:rPr>
        <w:t>绿肥播种以条播或撒播为主，播深应根据品种要求和种子大小而定，大粒种子可适当深播，以5cm～7cm为宜；小粒种子要适当浅播，以2cm～5cm为宜。播量取决于绿肥品种，单作绿肥应在生长盛期能覆盖农田地表，间套绿肥应能覆盖绿肥种植行或种植带地表。</w:t>
      </w:r>
    </w:p>
    <w:p w:rsidR="00513FCE" w:rsidRDefault="00F1196B">
      <w:pPr>
        <w:pStyle w:val="affe"/>
        <w:spacing w:before="156" w:after="156"/>
      </w:pPr>
      <w:r>
        <w:rPr>
          <w:rFonts w:hint="eastAsia"/>
        </w:rPr>
        <w:t>还田方式</w:t>
      </w:r>
    </w:p>
    <w:p w:rsidR="00513FCE" w:rsidRDefault="00F1196B">
      <w:pPr>
        <w:pStyle w:val="affffe"/>
        <w:ind w:firstLine="420"/>
      </w:pPr>
      <w:r>
        <w:rPr>
          <w:rFonts w:hint="eastAsia"/>
        </w:rPr>
        <w:t>采用粮肥间作或轮作方式种植绿肥作物，实施绿肥还田。一年生绿肥可根据当地降雨量和气温，在农作物播种前10 d～25 d直接翻压入土。多年生绿肥采用灭茬还田机械粉碎覆盖地表，或刈割切碎再翻压入土，或刈割移出、切碎堆腐后再撒施翻压。</w:t>
      </w:r>
    </w:p>
    <w:p w:rsidR="00513FCE" w:rsidRDefault="00F1196B">
      <w:pPr>
        <w:pStyle w:val="affd"/>
        <w:spacing w:before="156" w:after="156"/>
      </w:pPr>
      <w:bookmarkStart w:id="70" w:name="_Toc181112946"/>
      <w:r>
        <w:rPr>
          <w:rFonts w:hint="eastAsia"/>
        </w:rPr>
        <w:t>施用土壤调理剂</w:t>
      </w:r>
      <w:bookmarkEnd w:id="70"/>
    </w:p>
    <w:p w:rsidR="00513FCE" w:rsidRDefault="00F1196B">
      <w:pPr>
        <w:pStyle w:val="affffe"/>
        <w:ind w:firstLine="420"/>
      </w:pPr>
      <w:r>
        <w:rPr>
          <w:rFonts w:hint="eastAsia"/>
        </w:rPr>
        <w:t>施用硫酸亚铁1500 kg/hm</w:t>
      </w:r>
      <w:r>
        <w:rPr>
          <w:rFonts w:hint="eastAsia"/>
          <w:vertAlign w:val="superscript"/>
        </w:rPr>
        <w:t>2</w:t>
      </w:r>
      <w:r>
        <w:rPr>
          <w:rFonts w:hint="eastAsia"/>
        </w:rPr>
        <w:t>，或者腐植酸1500 kg/hm</w:t>
      </w:r>
      <w:r>
        <w:rPr>
          <w:rFonts w:hint="eastAsia"/>
          <w:vertAlign w:val="superscript"/>
        </w:rPr>
        <w:t>2</w:t>
      </w:r>
      <w:r>
        <w:rPr>
          <w:rFonts w:hint="eastAsia"/>
        </w:rPr>
        <w:t>，均于秋季作物收获后或春季整地前均匀撒入地表，及时深翻入土。</w:t>
      </w:r>
    </w:p>
    <w:p w:rsidR="00513FCE" w:rsidRDefault="00F1196B">
      <w:pPr>
        <w:pStyle w:val="affd"/>
        <w:spacing w:before="156" w:after="156"/>
      </w:pPr>
      <w:bookmarkStart w:id="71" w:name="_Toc181112947"/>
      <w:r>
        <w:rPr>
          <w:rFonts w:hint="eastAsia"/>
        </w:rPr>
        <w:t>机械翻耕晒垡技术</w:t>
      </w:r>
      <w:bookmarkEnd w:id="71"/>
    </w:p>
    <w:p w:rsidR="00513FCE" w:rsidRDefault="00F1196B">
      <w:pPr>
        <w:pStyle w:val="affffe"/>
        <w:ind w:firstLine="420"/>
      </w:pPr>
      <w:r>
        <w:rPr>
          <w:rFonts w:hint="eastAsia"/>
        </w:rPr>
        <w:t>机械深耕深翻必须把握好土壤适宜耕作性，以土壤含水量10%~25%为宜，耕深大于30cm；减少开闭垅，耕后地表平整，实际耕幅与犁耕幅一致，避免漏耕、重耕。通过晒垡提高土壤氧化还原电位，散除有害气体，改善土壤理化生物性状，保持并提高土壤肥力，促进作物生长。深耕整地过程中应注意农用动力要与作业机具配套，采用合理的深耕方式进行操作。</w:t>
      </w:r>
    </w:p>
    <w:p w:rsidR="00513FCE" w:rsidRDefault="00F1196B">
      <w:pPr>
        <w:pStyle w:val="affc"/>
        <w:spacing w:before="312" w:after="312"/>
      </w:pPr>
      <w:bookmarkStart w:id="72" w:name="_Toc181113711"/>
      <w:bookmarkStart w:id="73" w:name="_Toc181112948"/>
      <w:r>
        <w:rPr>
          <w:rFonts w:hint="eastAsia"/>
        </w:rPr>
        <w:t>耕地质量评价</w:t>
      </w:r>
      <w:bookmarkEnd w:id="72"/>
      <w:bookmarkEnd w:id="73"/>
    </w:p>
    <w:p w:rsidR="00513FCE" w:rsidRDefault="00F1196B">
      <w:pPr>
        <w:pStyle w:val="affffe"/>
        <w:ind w:firstLine="420"/>
      </w:pPr>
      <w:r>
        <w:rPr>
          <w:rFonts w:hint="eastAsia"/>
        </w:rPr>
        <w:t>按照GB/T 33469规定的指标体系进行耕地质量等级评价，以判定实施前后耕地质量等级。</w:t>
      </w:r>
    </w:p>
    <w:p w:rsidR="00513FCE" w:rsidRDefault="00F1196B">
      <w:pPr>
        <w:pStyle w:val="affc"/>
        <w:spacing w:before="312" w:after="312"/>
      </w:pPr>
      <w:bookmarkStart w:id="74" w:name="_Toc181113712"/>
      <w:bookmarkStart w:id="75" w:name="_Toc181112949"/>
      <w:r>
        <w:rPr>
          <w:rFonts w:hint="eastAsia"/>
        </w:rPr>
        <w:t>熟化期限</w:t>
      </w:r>
      <w:bookmarkEnd w:id="74"/>
      <w:bookmarkEnd w:id="75"/>
    </w:p>
    <w:p w:rsidR="00513FCE" w:rsidRDefault="00F1196B">
      <w:pPr>
        <w:pStyle w:val="affffe"/>
        <w:ind w:firstLine="420"/>
      </w:pPr>
      <w:r>
        <w:rPr>
          <w:rFonts w:hint="eastAsia"/>
        </w:rPr>
        <w:lastRenderedPageBreak/>
        <w:t>结合当地生产实际，坚持耕地用养结合。熟化期限至少应在3年以上，具体以实现作物持续稳定增产、达到本标准规定的指标要求为限。</w:t>
      </w:r>
    </w:p>
    <w:p w:rsidR="00513FCE" w:rsidRDefault="00F1196B">
      <w:pPr>
        <w:pStyle w:val="affc"/>
        <w:spacing w:before="312" w:after="312"/>
      </w:pPr>
      <w:bookmarkStart w:id="76" w:name="_Toc181112950"/>
      <w:bookmarkStart w:id="77" w:name="_Toc181113713"/>
      <w:r>
        <w:rPr>
          <w:rFonts w:hint="eastAsia"/>
        </w:rPr>
        <w:t>档案记录</w:t>
      </w:r>
      <w:bookmarkEnd w:id="76"/>
      <w:bookmarkEnd w:id="77"/>
    </w:p>
    <w:p w:rsidR="00513FCE" w:rsidRDefault="00F1196B">
      <w:pPr>
        <w:pStyle w:val="affffe"/>
        <w:ind w:firstLine="420"/>
      </w:pPr>
      <w:r>
        <w:rPr>
          <w:rFonts w:hint="eastAsia"/>
        </w:rPr>
        <w:t>建立田间技术生产档案（具体参见附录A），对各环节采取的措施进行详细记录，并保存3年以上。</w:t>
      </w:r>
    </w:p>
    <w:p w:rsidR="00513FCE" w:rsidRDefault="00513FCE">
      <w:pPr>
        <w:pStyle w:val="affffe"/>
        <w:ind w:firstLine="420"/>
        <w:sectPr w:rsidR="00513FCE">
          <w:pgSz w:w="11906" w:h="16838"/>
          <w:pgMar w:top="1928" w:right="1134" w:bottom="1134" w:left="1134" w:header="1418" w:footer="1134" w:gutter="284"/>
          <w:pgNumType w:start="1"/>
          <w:cols w:space="425"/>
          <w:formProt w:val="0"/>
          <w:docGrid w:type="lines" w:linePitch="312"/>
        </w:sectPr>
      </w:pPr>
    </w:p>
    <w:p w:rsidR="00513FCE" w:rsidRDefault="00513FCE">
      <w:pPr>
        <w:pStyle w:val="af8"/>
        <w:rPr>
          <w:vanish w:val="0"/>
        </w:rPr>
      </w:pPr>
      <w:bookmarkStart w:id="78" w:name="BookMark5"/>
      <w:bookmarkEnd w:id="26"/>
    </w:p>
    <w:p w:rsidR="00513FCE" w:rsidRDefault="00513FCE">
      <w:pPr>
        <w:pStyle w:val="afe"/>
        <w:rPr>
          <w:vanish w:val="0"/>
        </w:rPr>
      </w:pPr>
    </w:p>
    <w:p w:rsidR="00513FCE" w:rsidRDefault="00F1196B">
      <w:pPr>
        <w:pStyle w:val="aff3"/>
        <w:spacing w:after="156"/>
      </w:pPr>
      <w:r>
        <w:br/>
      </w:r>
      <w:bookmarkStart w:id="79" w:name="_Toc181113714"/>
      <w:r>
        <w:rPr>
          <w:rFonts w:hint="eastAsia"/>
        </w:rPr>
        <w:t>（资料性）</w:t>
      </w:r>
      <w:r>
        <w:br/>
      </w:r>
      <w:r>
        <w:rPr>
          <w:rFonts w:hint="eastAsia"/>
        </w:rPr>
        <w:t>土壤熟化田间技术生产档案记载内容</w:t>
      </w:r>
      <w:bookmarkEnd w:id="79"/>
    </w:p>
    <w:p w:rsidR="00513FCE" w:rsidRDefault="00F1196B">
      <w:pPr>
        <w:pStyle w:val="affffe"/>
        <w:ind w:firstLine="420"/>
      </w:pPr>
      <w:r>
        <w:rPr>
          <w:rFonts w:hint="eastAsia"/>
        </w:rPr>
        <w:t>土壤熟化田间技术生产档案记载内容见表A.1</w:t>
      </w:r>
    </w:p>
    <w:p w:rsidR="00513FCE" w:rsidRDefault="00F1196B">
      <w:pPr>
        <w:pStyle w:val="aff"/>
        <w:spacing w:before="156" w:after="156"/>
      </w:pPr>
      <w:r>
        <w:rPr>
          <w:rFonts w:hint="eastAsia"/>
        </w:rPr>
        <w:t>土壤熟化田间技术生产档案记载表</w:t>
      </w:r>
    </w:p>
    <w:tbl>
      <w:tblPr>
        <w:tblW w:w="8662" w:type="dxa"/>
        <w:tblInd w:w="93" w:type="dxa"/>
        <w:tblLook w:val="04A0" w:firstRow="1" w:lastRow="0" w:firstColumn="1" w:lastColumn="0" w:noHBand="0" w:noVBand="1"/>
      </w:tblPr>
      <w:tblGrid>
        <w:gridCol w:w="1296"/>
        <w:gridCol w:w="2547"/>
        <w:gridCol w:w="2409"/>
        <w:gridCol w:w="2410"/>
      </w:tblGrid>
      <w:tr w:rsidR="00513FCE">
        <w:trPr>
          <w:trHeight w:val="315"/>
        </w:trPr>
        <w:tc>
          <w:tcPr>
            <w:tcW w:w="3843" w:type="dxa"/>
            <w:gridSpan w:val="2"/>
            <w:tcBorders>
              <w:top w:val="single" w:sz="4" w:space="0" w:color="000000"/>
              <w:left w:val="single" w:sz="4" w:space="0" w:color="000000"/>
              <w:bottom w:val="single" w:sz="4" w:space="0" w:color="000000"/>
              <w:right w:val="single" w:sz="4" w:space="0" w:color="000000"/>
            </w:tcBorders>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项      目</w:t>
            </w:r>
          </w:p>
        </w:tc>
        <w:tc>
          <w:tcPr>
            <w:tcW w:w="2409"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第一季</w:t>
            </w:r>
          </w:p>
        </w:tc>
        <w:tc>
          <w:tcPr>
            <w:tcW w:w="2410"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第二季</w:t>
            </w:r>
          </w:p>
        </w:tc>
      </w:tr>
      <w:tr w:rsidR="00513FCE">
        <w:trPr>
          <w:trHeight w:val="315"/>
        </w:trPr>
        <w:tc>
          <w:tcPr>
            <w:tcW w:w="0" w:type="auto"/>
            <w:vMerge w:val="restart"/>
            <w:tcBorders>
              <w:top w:val="nil"/>
              <w:left w:val="single" w:sz="4" w:space="0" w:color="000000"/>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基本情况</w:t>
            </w:r>
          </w:p>
        </w:tc>
        <w:tc>
          <w:tcPr>
            <w:tcW w:w="2547"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作物名称</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作物品种</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播种量/栽培密度，株/hm</w:t>
            </w:r>
            <w:r>
              <w:rPr>
                <w:rFonts w:ascii="宋体" w:hAnsi="宋体" w:hint="eastAsia"/>
                <w:color w:val="000000"/>
                <w:kern w:val="0"/>
                <w:sz w:val="18"/>
                <w:szCs w:val="18"/>
                <w:vertAlign w:val="superscript"/>
              </w:rPr>
              <w:t>2</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播种时间</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播种方式</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收获时间</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耕作情况</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作物产量（kg/hm</w:t>
            </w:r>
            <w:r>
              <w:rPr>
                <w:rFonts w:ascii="宋体" w:hAnsi="宋体" w:hint="eastAsia"/>
                <w:color w:val="000000"/>
                <w:kern w:val="0"/>
                <w:sz w:val="18"/>
                <w:szCs w:val="18"/>
                <w:vertAlign w:val="superscript"/>
              </w:rPr>
              <w:t>2</w:t>
            </w:r>
            <w:r>
              <w:rPr>
                <w:rFonts w:ascii="宋体" w:hAnsi="宋体" w:hint="eastAsia"/>
                <w:color w:val="000000"/>
                <w:kern w:val="0"/>
                <w:sz w:val="18"/>
                <w:szCs w:val="18"/>
              </w:rPr>
              <w:t>）</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val="restart"/>
            <w:tcBorders>
              <w:top w:val="nil"/>
              <w:left w:val="single" w:sz="4" w:space="0" w:color="000000"/>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田间生产情况</w:t>
            </w:r>
          </w:p>
        </w:tc>
        <w:tc>
          <w:tcPr>
            <w:tcW w:w="2547" w:type="dxa"/>
            <w:tcBorders>
              <w:top w:val="single" w:sz="4" w:space="0" w:color="000000"/>
              <w:left w:val="nil"/>
              <w:bottom w:val="single" w:sz="4" w:space="0" w:color="000000"/>
              <w:right w:val="single" w:sz="4" w:space="0" w:color="000000"/>
            </w:tcBorders>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灌溉情况</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降水情况</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病虫害情况</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自然灾害情况</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1296" w:type="dxa"/>
            <w:vMerge w:val="restart"/>
            <w:tcBorders>
              <w:top w:val="nil"/>
              <w:left w:val="single" w:sz="4" w:space="0" w:color="000000"/>
              <w:bottom w:val="single" w:sz="4" w:space="0" w:color="000000"/>
              <w:right w:val="single" w:sz="4" w:space="0" w:color="000000"/>
            </w:tcBorders>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主要熟化措施及方法</w:t>
            </w:r>
          </w:p>
        </w:tc>
        <w:tc>
          <w:tcPr>
            <w:tcW w:w="2547" w:type="dxa"/>
            <w:tcBorders>
              <w:top w:val="single" w:sz="4" w:space="0" w:color="000000"/>
              <w:left w:val="nil"/>
              <w:bottom w:val="single" w:sz="4" w:space="0" w:color="000000"/>
              <w:right w:val="single" w:sz="4" w:space="0" w:color="000000"/>
            </w:tcBorders>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化肥施用情况</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有机肥料施用情况</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绿肥种植情况</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秸秆还田情况</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施用土壤调理剂情况</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r w:rsidR="00513FCE">
        <w:trPr>
          <w:trHeight w:val="315"/>
        </w:trPr>
        <w:tc>
          <w:tcPr>
            <w:tcW w:w="0" w:type="auto"/>
            <w:vMerge/>
            <w:tcBorders>
              <w:top w:val="nil"/>
              <w:left w:val="single" w:sz="4" w:space="0" w:color="000000"/>
              <w:bottom w:val="single" w:sz="4" w:space="0" w:color="000000"/>
              <w:right w:val="single" w:sz="4" w:space="0" w:color="000000"/>
            </w:tcBorders>
            <w:vAlign w:val="center"/>
          </w:tcPr>
          <w:p w:rsidR="00513FCE" w:rsidRDefault="00513FCE">
            <w:pPr>
              <w:widowControl/>
              <w:jc w:val="left"/>
              <w:rPr>
                <w:rFonts w:ascii="宋体" w:hAnsi="宋体"/>
                <w:color w:val="000000"/>
                <w:sz w:val="18"/>
                <w:szCs w:val="18"/>
              </w:rPr>
            </w:pPr>
          </w:p>
        </w:tc>
        <w:tc>
          <w:tcPr>
            <w:tcW w:w="2547" w:type="dxa"/>
            <w:tcBorders>
              <w:top w:val="single" w:sz="4" w:space="0" w:color="000000"/>
              <w:left w:val="nil"/>
              <w:bottom w:val="single" w:sz="4" w:space="0" w:color="000000"/>
              <w:right w:val="single" w:sz="4" w:space="0" w:color="000000"/>
            </w:tcBorders>
            <w:noWrap/>
            <w:vAlign w:val="center"/>
          </w:tcPr>
          <w:p w:rsidR="00513FCE" w:rsidRDefault="00F1196B">
            <w:pPr>
              <w:widowControl/>
              <w:jc w:val="center"/>
              <w:textAlignment w:val="center"/>
              <w:rPr>
                <w:rFonts w:ascii="宋体" w:hAnsi="宋体"/>
                <w:color w:val="000000"/>
                <w:sz w:val="18"/>
                <w:szCs w:val="18"/>
              </w:rPr>
            </w:pPr>
            <w:r>
              <w:rPr>
                <w:rFonts w:ascii="宋体" w:hAnsi="宋体" w:hint="eastAsia"/>
                <w:color w:val="000000"/>
                <w:kern w:val="0"/>
                <w:sz w:val="18"/>
                <w:szCs w:val="18"/>
              </w:rPr>
              <w:t>机械翻耕晒垡情况</w:t>
            </w:r>
          </w:p>
        </w:tc>
        <w:tc>
          <w:tcPr>
            <w:tcW w:w="2409"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c>
          <w:tcPr>
            <w:tcW w:w="2410" w:type="dxa"/>
            <w:tcBorders>
              <w:top w:val="single" w:sz="4" w:space="0" w:color="000000"/>
              <w:left w:val="nil"/>
              <w:bottom w:val="single" w:sz="4" w:space="0" w:color="000000"/>
              <w:right w:val="single" w:sz="4" w:space="0" w:color="000000"/>
            </w:tcBorders>
            <w:noWrap/>
            <w:vAlign w:val="center"/>
          </w:tcPr>
          <w:p w:rsidR="00513FCE" w:rsidRDefault="00513FCE">
            <w:pPr>
              <w:rPr>
                <w:rFonts w:ascii="宋体" w:hAnsi="宋体"/>
                <w:color w:val="000000"/>
                <w:sz w:val="18"/>
                <w:szCs w:val="18"/>
              </w:rPr>
            </w:pPr>
          </w:p>
        </w:tc>
      </w:tr>
    </w:tbl>
    <w:p w:rsidR="00513FCE" w:rsidRDefault="00F1196B">
      <w:pPr>
        <w:pStyle w:val="affffe"/>
        <w:ind w:firstLineChars="145" w:firstLine="304"/>
      </w:pPr>
      <w:r>
        <w:rPr>
          <w:rFonts w:hint="eastAsia"/>
        </w:rPr>
        <w:t xml:space="preserve">年度：                    填表人：                     联系电话：           </w:t>
      </w:r>
    </w:p>
    <w:p w:rsidR="00513FCE" w:rsidRDefault="00513FCE">
      <w:pPr>
        <w:pStyle w:val="affffe"/>
        <w:ind w:firstLine="420"/>
      </w:pPr>
    </w:p>
    <w:p w:rsidR="00513FCE" w:rsidRDefault="00F1196B">
      <w:pPr>
        <w:pStyle w:val="affffe"/>
        <w:ind w:firstLineChars="0" w:firstLine="0"/>
        <w:jc w:val="center"/>
      </w:pPr>
      <w:bookmarkStart w:id="80" w:name="BookMark8"/>
      <w:bookmarkEnd w:id="78"/>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stretch>
                      <a:fillRect/>
                    </a:stretch>
                  </pic:blipFill>
                  <pic:spPr>
                    <a:xfrm>
                      <a:off x="0" y="0"/>
                      <a:ext cx="1485900" cy="317500"/>
                    </a:xfrm>
                    <a:prstGeom prst="rect">
                      <a:avLst/>
                    </a:prstGeom>
                  </pic:spPr>
                </pic:pic>
              </a:graphicData>
            </a:graphic>
          </wp:inline>
        </w:drawing>
      </w:r>
      <w:bookmarkEnd w:id="80"/>
    </w:p>
    <w:sectPr w:rsidR="00513FCE">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96B" w:rsidRDefault="00F1196B">
      <w:pPr>
        <w:spacing w:line="240" w:lineRule="auto"/>
      </w:pPr>
      <w:r>
        <w:separator/>
      </w:r>
    </w:p>
  </w:endnote>
  <w:endnote w:type="continuationSeparator" w:id="0">
    <w:p w:rsidR="00F1196B" w:rsidRDefault="00F119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FCE" w:rsidRDefault="00F1196B">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FCE" w:rsidRDefault="00513FCE">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FCE" w:rsidRDefault="00F1196B">
    <w:pPr>
      <w:pStyle w:val="affffb"/>
    </w:pPr>
    <w:r>
      <w:fldChar w:fldCharType="begin"/>
    </w:r>
    <w:r>
      <w:instrText>PAGE   \* MERGEFORMAT</w:instrText>
    </w:r>
    <w:r>
      <w:fldChar w:fldCharType="separate"/>
    </w:r>
    <w:r w:rsidR="008B1B7E" w:rsidRPr="008B1B7E">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96B" w:rsidRDefault="00F1196B">
      <w:pPr>
        <w:spacing w:line="240" w:lineRule="auto"/>
      </w:pPr>
      <w:r>
        <w:separator/>
      </w:r>
    </w:p>
  </w:footnote>
  <w:footnote w:type="continuationSeparator" w:id="0">
    <w:p w:rsidR="00F1196B" w:rsidRDefault="00F1196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FCE" w:rsidRDefault="00F1196B">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FCE" w:rsidRDefault="00513FCE">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FCE" w:rsidRDefault="00F1196B">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DB14/T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FCE" w:rsidRDefault="00F1196B">
    <w:pPr>
      <w:pStyle w:val="afffff3"/>
    </w:pPr>
    <w:r>
      <w:fldChar w:fldCharType="begin"/>
    </w:r>
    <w:r>
      <w:instrText xml:space="preserve"> STYLEREF  标准文件_文件编号  \* MERGEFORMAT </w:instrText>
    </w:r>
    <w:r>
      <w:fldChar w:fldCharType="separate"/>
    </w:r>
    <w:r w:rsidR="008B1B7E">
      <w:rPr>
        <w:noProof/>
      </w:rPr>
      <w:t>DB14/T XXXX</w:t>
    </w:r>
    <w:r w:rsidR="008B1B7E">
      <w:rPr>
        <w:noProof/>
      </w:rPr>
      <w:t>—</w:t>
    </w:r>
    <w:r w:rsidR="008B1B7E">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ttachedTemplate r:id="rId1"/>
  <w:documentProtection w:edit="forms" w:enforcement="1" w:cryptProviderType="rsaFull" w:cryptAlgorithmClass="hash" w:cryptAlgorithmType="typeAny" w:cryptAlgorithmSid="4" w:cryptSpinCount="100000" w:hash="gFWTqi0o/MeuK40GO7wTsY8op2A=" w:salt="99kfFHp5aqM9+GP5cVcAV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lODA0N2M5YjQ0NGNiY2IwMDM0ZjZkYWZkODY1MWEifQ=="/>
  </w:docVars>
  <w:rsids>
    <w:rsidRoot w:val="00DC724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717"/>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EAC"/>
    <w:rsid w:val="00096D63"/>
    <w:rsid w:val="000A0B60"/>
    <w:rsid w:val="000A0EB8"/>
    <w:rsid w:val="000A19FC"/>
    <w:rsid w:val="000A296B"/>
    <w:rsid w:val="000A7311"/>
    <w:rsid w:val="000B060F"/>
    <w:rsid w:val="000B1592"/>
    <w:rsid w:val="000B1FF2"/>
    <w:rsid w:val="000B3CDA"/>
    <w:rsid w:val="000B6A0B"/>
    <w:rsid w:val="000C0333"/>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830"/>
    <w:rsid w:val="000E4C9E"/>
    <w:rsid w:val="000E6FD7"/>
    <w:rsid w:val="000F06E1"/>
    <w:rsid w:val="000F0E3C"/>
    <w:rsid w:val="000F19D5"/>
    <w:rsid w:val="000F4AEA"/>
    <w:rsid w:val="000F633F"/>
    <w:rsid w:val="000F67E9"/>
    <w:rsid w:val="00100C7D"/>
    <w:rsid w:val="00104926"/>
    <w:rsid w:val="00113B1E"/>
    <w:rsid w:val="0011711C"/>
    <w:rsid w:val="0012059C"/>
    <w:rsid w:val="00124E4F"/>
    <w:rsid w:val="001260B7"/>
    <w:rsid w:val="001265CB"/>
    <w:rsid w:val="001321C6"/>
    <w:rsid w:val="001325C4"/>
    <w:rsid w:val="00133010"/>
    <w:rsid w:val="001338EE"/>
    <w:rsid w:val="00133AAE"/>
    <w:rsid w:val="00133CBB"/>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398"/>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655"/>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6C2"/>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4BB"/>
    <w:rsid w:val="00313B85"/>
    <w:rsid w:val="00317988"/>
    <w:rsid w:val="003221B4"/>
    <w:rsid w:val="0032258D"/>
    <w:rsid w:val="00322E62"/>
    <w:rsid w:val="00324D13"/>
    <w:rsid w:val="00324D2A"/>
    <w:rsid w:val="00324EDD"/>
    <w:rsid w:val="003331E4"/>
    <w:rsid w:val="00333A41"/>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55A"/>
    <w:rsid w:val="003D0FF6"/>
    <w:rsid w:val="003D20C4"/>
    <w:rsid w:val="003D262C"/>
    <w:rsid w:val="003D60CA"/>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F44"/>
    <w:rsid w:val="00405166"/>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77E"/>
    <w:rsid w:val="004B3AA8"/>
    <w:rsid w:val="004B3E93"/>
    <w:rsid w:val="004B4F86"/>
    <w:rsid w:val="004B68D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738"/>
    <w:rsid w:val="004E2B06"/>
    <w:rsid w:val="004E30C5"/>
    <w:rsid w:val="004E4AA5"/>
    <w:rsid w:val="004E4AEE"/>
    <w:rsid w:val="004E59E3"/>
    <w:rsid w:val="004E67C0"/>
    <w:rsid w:val="004F391A"/>
    <w:rsid w:val="004F3CFB"/>
    <w:rsid w:val="004F462D"/>
    <w:rsid w:val="004F6456"/>
    <w:rsid w:val="004F696E"/>
    <w:rsid w:val="004F6C71"/>
    <w:rsid w:val="00501139"/>
    <w:rsid w:val="0050363E"/>
    <w:rsid w:val="005039BC"/>
    <w:rsid w:val="005043BB"/>
    <w:rsid w:val="00504A3D"/>
    <w:rsid w:val="00505767"/>
    <w:rsid w:val="005073F0"/>
    <w:rsid w:val="00510A7B"/>
    <w:rsid w:val="00512F6E"/>
    <w:rsid w:val="00513038"/>
    <w:rsid w:val="00513FCE"/>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2E6"/>
    <w:rsid w:val="00551F6F"/>
    <w:rsid w:val="0055342E"/>
    <w:rsid w:val="00555044"/>
    <w:rsid w:val="00560745"/>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5EF7"/>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A18"/>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6FE"/>
    <w:rsid w:val="006640E5"/>
    <w:rsid w:val="006646F1"/>
    <w:rsid w:val="00664929"/>
    <w:rsid w:val="00664F62"/>
    <w:rsid w:val="006655E1"/>
    <w:rsid w:val="00672060"/>
    <w:rsid w:val="00672BFD"/>
    <w:rsid w:val="006770F4"/>
    <w:rsid w:val="00677A84"/>
    <w:rsid w:val="0068026D"/>
    <w:rsid w:val="00680A27"/>
    <w:rsid w:val="006816A4"/>
    <w:rsid w:val="006819B8"/>
    <w:rsid w:val="006823D3"/>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075"/>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3A94"/>
    <w:rsid w:val="0073628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39B"/>
    <w:rsid w:val="007B7453"/>
    <w:rsid w:val="007C1E8B"/>
    <w:rsid w:val="007C2D89"/>
    <w:rsid w:val="007C4593"/>
    <w:rsid w:val="007C5309"/>
    <w:rsid w:val="007C6069"/>
    <w:rsid w:val="007C7FAD"/>
    <w:rsid w:val="007D06C4"/>
    <w:rsid w:val="007D1352"/>
    <w:rsid w:val="007D2508"/>
    <w:rsid w:val="007D346A"/>
    <w:rsid w:val="007D6518"/>
    <w:rsid w:val="007D76BD"/>
    <w:rsid w:val="007E0BF1"/>
    <w:rsid w:val="007F0ED8"/>
    <w:rsid w:val="007F0F63"/>
    <w:rsid w:val="007F75CE"/>
    <w:rsid w:val="008013A4"/>
    <w:rsid w:val="008027CE"/>
    <w:rsid w:val="00802AAF"/>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07A"/>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1B7E"/>
    <w:rsid w:val="008B3615"/>
    <w:rsid w:val="008B4AC4"/>
    <w:rsid w:val="008B50C8"/>
    <w:rsid w:val="008B5281"/>
    <w:rsid w:val="008B7E05"/>
    <w:rsid w:val="008C1797"/>
    <w:rsid w:val="008C219C"/>
    <w:rsid w:val="008C475E"/>
    <w:rsid w:val="008C619A"/>
    <w:rsid w:val="008D0CE8"/>
    <w:rsid w:val="008D1804"/>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A45"/>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393C"/>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9A6"/>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7A4"/>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18"/>
    <w:rsid w:val="00AE37E5"/>
    <w:rsid w:val="00AE5EB4"/>
    <w:rsid w:val="00AF0C18"/>
    <w:rsid w:val="00AF47C5"/>
    <w:rsid w:val="00AF4FDE"/>
    <w:rsid w:val="00AF5398"/>
    <w:rsid w:val="00B0457E"/>
    <w:rsid w:val="00B049AF"/>
    <w:rsid w:val="00B07242"/>
    <w:rsid w:val="00B10534"/>
    <w:rsid w:val="00B113DB"/>
    <w:rsid w:val="00B11D8A"/>
    <w:rsid w:val="00B12981"/>
    <w:rsid w:val="00B147DD"/>
    <w:rsid w:val="00B156FD"/>
    <w:rsid w:val="00B21F61"/>
    <w:rsid w:val="00B261F1"/>
    <w:rsid w:val="00B265BC"/>
    <w:rsid w:val="00B27C56"/>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4E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5D6B"/>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1B4B"/>
    <w:rsid w:val="00CB2C0B"/>
    <w:rsid w:val="00CB517D"/>
    <w:rsid w:val="00CB698E"/>
    <w:rsid w:val="00CC038D"/>
    <w:rsid w:val="00CC08DB"/>
    <w:rsid w:val="00CC0F3A"/>
    <w:rsid w:val="00CC39FF"/>
    <w:rsid w:val="00CC3C2F"/>
    <w:rsid w:val="00CC4AC8"/>
    <w:rsid w:val="00CC5233"/>
    <w:rsid w:val="00CC5DE6"/>
    <w:rsid w:val="00CC6E4E"/>
    <w:rsid w:val="00CC6FE8"/>
    <w:rsid w:val="00CC7202"/>
    <w:rsid w:val="00CC7B2E"/>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5E3"/>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37D4"/>
    <w:rsid w:val="00D352A2"/>
    <w:rsid w:val="00D4162B"/>
    <w:rsid w:val="00D4514F"/>
    <w:rsid w:val="00D451E2"/>
    <w:rsid w:val="00D45E89"/>
    <w:rsid w:val="00D45E8D"/>
    <w:rsid w:val="00D466AE"/>
    <w:rsid w:val="00D4734F"/>
    <w:rsid w:val="00D51BF3"/>
    <w:rsid w:val="00D54DDC"/>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7249"/>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EB6"/>
    <w:rsid w:val="00DF1961"/>
    <w:rsid w:val="00DF44DE"/>
    <w:rsid w:val="00DF5F11"/>
    <w:rsid w:val="00E01138"/>
    <w:rsid w:val="00E02DFB"/>
    <w:rsid w:val="00E030F9"/>
    <w:rsid w:val="00E0311A"/>
    <w:rsid w:val="00E03138"/>
    <w:rsid w:val="00E06404"/>
    <w:rsid w:val="00E065D2"/>
    <w:rsid w:val="00E11A85"/>
    <w:rsid w:val="00E12495"/>
    <w:rsid w:val="00E13451"/>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66B"/>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48C"/>
    <w:rsid w:val="00E969D5"/>
    <w:rsid w:val="00EA58D1"/>
    <w:rsid w:val="00EA61BC"/>
    <w:rsid w:val="00EA681A"/>
    <w:rsid w:val="00EA735B"/>
    <w:rsid w:val="00EB17DE"/>
    <w:rsid w:val="00EB1E69"/>
    <w:rsid w:val="00EB2086"/>
    <w:rsid w:val="00EB20C4"/>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96B"/>
    <w:rsid w:val="00F11C9F"/>
    <w:rsid w:val="00F12263"/>
    <w:rsid w:val="00F1409D"/>
    <w:rsid w:val="00F14214"/>
    <w:rsid w:val="00F157A9"/>
    <w:rsid w:val="00F25BB6"/>
    <w:rsid w:val="00F26B7E"/>
    <w:rsid w:val="00F27A3B"/>
    <w:rsid w:val="00F31E82"/>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02EB"/>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809"/>
    <w:rsid w:val="00FE1FBE"/>
    <w:rsid w:val="00FE3901"/>
    <w:rsid w:val="00FE39D3"/>
    <w:rsid w:val="00FE48DD"/>
    <w:rsid w:val="00FE4BCE"/>
    <w:rsid w:val="00FE54AE"/>
    <w:rsid w:val="00FE576A"/>
    <w:rsid w:val="00FE7E79"/>
    <w:rsid w:val="00FF3E7D"/>
    <w:rsid w:val="00FF5B99"/>
    <w:rsid w:val="00FF730C"/>
    <w:rsid w:val="00FF73F4"/>
    <w:rsid w:val="00FF7CE4"/>
    <w:rsid w:val="00FF7E39"/>
    <w:rsid w:val="239621D0"/>
    <w:rsid w:val="281C077C"/>
    <w:rsid w:val="45102FBE"/>
    <w:rsid w:val="7EAC3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afffffffffff3">
    <w:name w:val="段"/>
    <w:basedOn w:val="afff5"/>
    <w:pPr>
      <w:widowControl/>
      <w:autoSpaceDE w:val="0"/>
      <w:autoSpaceDN w:val="0"/>
      <w:adjustRightInd/>
      <w:spacing w:line="240" w:lineRule="auto"/>
      <w:ind w:firstLineChars="200" w:firstLine="420"/>
    </w:pPr>
    <w:rPr>
      <w:rFonts w:ascii="宋体" w:hAnsi="宋体" w:cs="宋体"/>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afffffffffff3">
    <w:name w:val="段"/>
    <w:basedOn w:val="afff5"/>
    <w:pPr>
      <w:widowControl/>
      <w:autoSpaceDE w:val="0"/>
      <w:autoSpaceDN w:val="0"/>
      <w:adjustRightInd/>
      <w:spacing w:line="240" w:lineRule="auto"/>
      <w:ind w:firstLineChars="200" w:firstLine="420"/>
    </w:pPr>
    <w:rPr>
      <w:rFonts w:ascii="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00F15FDB3A7436AAB9FE6A74F1CDAE3"/>
        <w:category>
          <w:name w:val="常规"/>
          <w:gallery w:val="placeholder"/>
        </w:category>
        <w:types>
          <w:type w:val="bbPlcHdr"/>
        </w:types>
        <w:behaviors>
          <w:behavior w:val="content"/>
        </w:behaviors>
        <w:guid w:val="{38AA2272-17EE-4C99-82F1-9C578533ADE8}"/>
      </w:docPartPr>
      <w:docPartBody>
        <w:p w:rsidR="00FD6B9E" w:rsidRDefault="005629D2">
          <w:pPr>
            <w:pStyle w:val="E00F15FDB3A7436AAB9FE6A74F1CDAE3"/>
          </w:pPr>
          <w:r>
            <w:rPr>
              <w:rStyle w:val="a3"/>
              <w:rFonts w:hint="eastAsia"/>
            </w:rPr>
            <w:t>单击或点击此处输入文字。</w:t>
          </w:r>
        </w:p>
      </w:docPartBody>
    </w:docPart>
    <w:docPart>
      <w:docPartPr>
        <w:name w:val="B2C1C14C66494AF8903CECD35268ABB7"/>
        <w:category>
          <w:name w:val="常规"/>
          <w:gallery w:val="placeholder"/>
        </w:category>
        <w:types>
          <w:type w:val="bbPlcHdr"/>
        </w:types>
        <w:behaviors>
          <w:behavior w:val="content"/>
        </w:behaviors>
        <w:guid w:val="{148AC6A3-E643-4E81-91C9-FA4CC394A637}"/>
      </w:docPartPr>
      <w:docPartBody>
        <w:p w:rsidR="00FD6B9E" w:rsidRDefault="005629D2">
          <w:pPr>
            <w:pStyle w:val="B2C1C14C66494AF8903CECD35268ABB7"/>
          </w:pPr>
          <w:r>
            <w:rPr>
              <w:rStyle w:val="a3"/>
              <w:rFonts w:hint="eastAsia"/>
            </w:rPr>
            <w:t>选择一项。</w:t>
          </w:r>
        </w:p>
      </w:docPartBody>
    </w:docPart>
    <w:docPart>
      <w:docPartPr>
        <w:name w:val="D01A3E9880184EB28CF8CE4AE2B6A2CD"/>
        <w:category>
          <w:name w:val="常规"/>
          <w:gallery w:val="placeholder"/>
        </w:category>
        <w:types>
          <w:type w:val="bbPlcHdr"/>
        </w:types>
        <w:behaviors>
          <w:behavior w:val="content"/>
        </w:behaviors>
        <w:guid w:val="{0BD34C45-D9D3-4E2F-BBF9-F090147E0D9E}"/>
      </w:docPartPr>
      <w:docPartBody>
        <w:p w:rsidR="00FD6B9E" w:rsidRDefault="005629D2">
          <w:pPr>
            <w:pStyle w:val="D01A3E9880184EB28CF8CE4AE2B6A2C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C9C"/>
    <w:rsid w:val="005629D2"/>
    <w:rsid w:val="00705C9C"/>
    <w:rsid w:val="00A14638"/>
    <w:rsid w:val="00B04418"/>
    <w:rsid w:val="00EB1BFF"/>
    <w:rsid w:val="00FD6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00F15FDB3A7436AAB9FE6A74F1CDAE3">
    <w:name w:val="E00F15FDB3A7436AAB9FE6A74F1CDAE3"/>
    <w:pPr>
      <w:widowControl w:val="0"/>
      <w:jc w:val="both"/>
    </w:pPr>
    <w:rPr>
      <w:kern w:val="2"/>
      <w:sz w:val="21"/>
      <w:szCs w:val="22"/>
    </w:rPr>
  </w:style>
  <w:style w:type="paragraph" w:customStyle="1" w:styleId="B2C1C14C66494AF8903CECD35268ABB7">
    <w:name w:val="B2C1C14C66494AF8903CECD35268ABB7"/>
    <w:pPr>
      <w:widowControl w:val="0"/>
      <w:jc w:val="both"/>
    </w:pPr>
    <w:rPr>
      <w:kern w:val="2"/>
      <w:sz w:val="21"/>
      <w:szCs w:val="22"/>
    </w:rPr>
  </w:style>
  <w:style w:type="paragraph" w:customStyle="1" w:styleId="D01A3E9880184EB28CF8CE4AE2B6A2CD">
    <w:name w:val="D01A3E9880184EB28CF8CE4AE2B6A2CD"/>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00F15FDB3A7436AAB9FE6A74F1CDAE3">
    <w:name w:val="E00F15FDB3A7436AAB9FE6A74F1CDAE3"/>
    <w:pPr>
      <w:widowControl w:val="0"/>
      <w:jc w:val="both"/>
    </w:pPr>
    <w:rPr>
      <w:kern w:val="2"/>
      <w:sz w:val="21"/>
      <w:szCs w:val="22"/>
    </w:rPr>
  </w:style>
  <w:style w:type="paragraph" w:customStyle="1" w:styleId="B2C1C14C66494AF8903CECD35268ABB7">
    <w:name w:val="B2C1C14C66494AF8903CECD35268ABB7"/>
    <w:pPr>
      <w:widowControl w:val="0"/>
      <w:jc w:val="both"/>
    </w:pPr>
    <w:rPr>
      <w:kern w:val="2"/>
      <w:sz w:val="21"/>
      <w:szCs w:val="22"/>
    </w:rPr>
  </w:style>
  <w:style w:type="paragraph" w:customStyle="1" w:styleId="D01A3E9880184EB28CF8CE4AE2B6A2CD">
    <w:name w:val="D01A3E9880184EB28CF8CE4AE2B6A2CD"/>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7EC137-86EC-41BD-BC7A-3291AFB22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TotalTime>
  <Pages>8</Pages>
  <Words>663</Words>
  <Characters>3782</Characters>
  <Application>Microsoft Office Word</Application>
  <DocSecurity>0</DocSecurity>
  <Lines>31</Lines>
  <Paragraphs>8</Paragraphs>
  <ScaleCrop>false</ScaleCrop>
  <Company>PCMI</Company>
  <LinksUpToDate>false</LinksUpToDate>
  <CharactersWithSpaces>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xb21cn</dc:creator>
  <dc:description>&lt;config cover="true" show_menu="true" version="1.0.0" doctype="SDKXY"&gt;_x000d_
&lt;/config&gt;</dc:description>
  <cp:lastModifiedBy>xb21cn</cp:lastModifiedBy>
  <cp:revision>139</cp:revision>
  <cp:lastPrinted>2020-08-30T10:00:00Z</cp:lastPrinted>
  <dcterms:created xsi:type="dcterms:W3CDTF">2024-10-29T07:36:00Z</dcterms:created>
  <dcterms:modified xsi:type="dcterms:W3CDTF">2024-10-29T10:26:00Z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4EC6590B512C49DDB8D772B3C00E5EC1_12</vt:lpwstr>
  </property>
</Properties>
</file>